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993E20" w:rsidRPr="00564775" w:rsidRDefault="00993E20" w:rsidP="00993E20">
      <w:pPr>
        <w:spacing w:after="120"/>
        <w:jc w:val="center"/>
        <w:rPr>
          <w:rFonts w:ascii="Constantia" w:hAnsi="Constantia" w:cs="Times New Roman"/>
          <w:b/>
          <w:noProof/>
          <w:sz w:val="44"/>
          <w:szCs w:val="44"/>
          <w:u w:val="single"/>
          <w:lang w:val="sr-Latn-CS"/>
        </w:rPr>
      </w:pPr>
      <w:r w:rsidRPr="00564775">
        <w:rPr>
          <w:rFonts w:ascii="Constantia" w:hAnsi="Constantia" w:cs="Times New Roman"/>
          <w:b/>
          <w:noProof/>
          <w:sz w:val="44"/>
          <w:szCs w:val="44"/>
          <w:u w:val="single"/>
          <w:lang w:val="sr-Latn-CS"/>
        </w:rPr>
        <w:t>Istraživanje javnog mnjenja građana Vrbasa</w:t>
      </w:r>
    </w:p>
    <w:p w:rsidR="00993E20" w:rsidRPr="00A81FAD" w:rsidRDefault="00993E20" w:rsidP="00993E20">
      <w:pPr>
        <w:spacing w:after="120"/>
        <w:jc w:val="both"/>
        <w:rPr>
          <w:rFonts w:ascii="Constantia" w:hAnsi="Constantia" w:cs="Times New Roman"/>
          <w:noProof/>
          <w:sz w:val="24"/>
          <w:szCs w:val="24"/>
          <w:lang w:val="sr-Latn-CS"/>
        </w:rPr>
      </w:pPr>
    </w:p>
    <w:p w:rsidR="00993E20" w:rsidRPr="00A81FAD" w:rsidRDefault="00993E20" w:rsidP="00993E20">
      <w:pPr>
        <w:jc w:val="center"/>
        <w:rPr>
          <w:rFonts w:ascii="Constantia" w:hAnsi="Constantia" w:cs="Times New Roman"/>
          <w:b/>
          <w:noProof/>
          <w:sz w:val="48"/>
          <w:szCs w:val="48"/>
          <w:lang w:val="sr-Latn-CS"/>
        </w:rPr>
      </w:pPr>
      <w:r w:rsidRPr="00A81FAD">
        <w:rPr>
          <w:rFonts w:ascii="Constantia" w:hAnsi="Constantia" w:cs="Times New Roman"/>
          <w:b/>
          <w:noProof/>
          <w:sz w:val="48"/>
          <w:szCs w:val="48"/>
          <w:lang w:val="sr-Latn-CS"/>
        </w:rPr>
        <w:t>Navike građana Vrbasa u grejanju domaćinstva i transportu</w:t>
      </w: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993E20" w:rsidP="00596814">
      <w:pPr>
        <w:spacing w:after="120"/>
        <w:jc w:val="center"/>
        <w:rPr>
          <w:rFonts w:ascii="Constantia" w:hAnsi="Constantia" w:cs="Times New Roman"/>
          <w:b/>
          <w:i/>
          <w:noProof/>
          <w:sz w:val="24"/>
          <w:szCs w:val="24"/>
          <w:lang w:val="sr-Latn-CS"/>
        </w:rPr>
      </w:pPr>
      <w:r w:rsidRPr="00A81FAD">
        <w:rPr>
          <w:rFonts w:ascii="Constantia" w:hAnsi="Constantia" w:cs="Times New Roman"/>
          <w:b/>
          <w:i/>
          <w:noProof/>
          <w:sz w:val="24"/>
          <w:szCs w:val="24"/>
          <w:lang w:val="sr-Latn-CS"/>
        </w:rPr>
        <w:t>U Beogradu, oktobra 2011. godine</w:t>
      </w: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596814" w:rsidP="00596814">
      <w:pPr>
        <w:spacing w:after="120"/>
        <w:jc w:val="center"/>
        <w:rPr>
          <w:rFonts w:ascii="Constantia" w:hAnsi="Constantia" w:cs="Times New Roman"/>
          <w:b/>
          <w:noProof/>
          <w:sz w:val="24"/>
          <w:szCs w:val="24"/>
          <w:lang w:val="sr-Latn-CS"/>
        </w:rPr>
      </w:pPr>
    </w:p>
    <w:p w:rsidR="00596814" w:rsidRPr="00A81FAD" w:rsidRDefault="00A81FAD" w:rsidP="00596814">
      <w:pPr>
        <w:spacing w:after="120"/>
        <w:ind w:right="742"/>
        <w:jc w:val="both"/>
        <w:rPr>
          <w:rFonts w:ascii="Constantia" w:hAnsi="Constantia" w:cs="Times New Roman"/>
          <w:noProof/>
          <w:sz w:val="36"/>
          <w:szCs w:val="36"/>
          <w:lang w:val="sr-Latn-CS"/>
        </w:rPr>
      </w:pPr>
      <w:r>
        <w:rPr>
          <w:rFonts w:ascii="Constantia" w:hAnsi="Constantia" w:cs="Times New Roman"/>
          <w:b/>
          <w:noProof/>
          <w:sz w:val="36"/>
          <w:szCs w:val="36"/>
          <w:lang w:val="sr-Latn-CS"/>
        </w:rPr>
        <w:t xml:space="preserve">1. </w:t>
      </w:r>
      <w:r w:rsidR="00993E20" w:rsidRPr="00A81FAD">
        <w:rPr>
          <w:rFonts w:ascii="Constantia" w:hAnsi="Constantia" w:cs="Times New Roman"/>
          <w:b/>
          <w:noProof/>
          <w:sz w:val="36"/>
          <w:szCs w:val="36"/>
          <w:lang w:val="sr-Latn-CS"/>
        </w:rPr>
        <w:t>METODOLOGIJA</w:t>
      </w:r>
    </w:p>
    <w:p w:rsidR="00993E20" w:rsidRPr="00A81FAD" w:rsidRDefault="00993E20" w:rsidP="00596814">
      <w:pPr>
        <w:spacing w:after="120"/>
        <w:ind w:right="742"/>
        <w:jc w:val="both"/>
        <w:rPr>
          <w:rFonts w:ascii="Constantia" w:hAnsi="Constantia" w:cs="Times New Roman"/>
          <w:noProof/>
          <w:sz w:val="24"/>
          <w:szCs w:val="24"/>
          <w:lang w:val="sr-Latn-CS"/>
        </w:rPr>
      </w:pPr>
    </w:p>
    <w:p w:rsidR="00596814" w:rsidRPr="00A81FAD" w:rsidRDefault="00596814" w:rsidP="00596814">
      <w:pPr>
        <w:spacing w:after="120"/>
        <w:ind w:right="742"/>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Istraživanje domaćinstava u Vrbasu obavljeno je u periodu od </w:t>
      </w:r>
      <w:r w:rsidR="00C86AD5" w:rsidRPr="00C86AD5">
        <w:rPr>
          <w:rFonts w:ascii="Constantia" w:hAnsi="Constantia" w:cs="Times New Roman"/>
          <w:noProof/>
          <w:sz w:val="24"/>
          <w:szCs w:val="24"/>
          <w:lang w:val="sr-Latn-CS"/>
        </w:rPr>
        <w:t>20</w:t>
      </w:r>
      <w:r w:rsidRPr="00C86AD5">
        <w:rPr>
          <w:rFonts w:ascii="Constantia" w:hAnsi="Constantia" w:cs="Times New Roman"/>
          <w:noProof/>
          <w:sz w:val="24"/>
          <w:szCs w:val="24"/>
          <w:lang w:val="sr-Latn-CS"/>
        </w:rPr>
        <w:t>.</w:t>
      </w:r>
      <w:r w:rsidR="00C86AD5" w:rsidRPr="00C86AD5">
        <w:rPr>
          <w:rFonts w:ascii="Constantia" w:hAnsi="Constantia" w:cs="Times New Roman"/>
          <w:noProof/>
          <w:sz w:val="24"/>
          <w:szCs w:val="24"/>
          <w:lang w:val="sr-Latn-CS"/>
        </w:rPr>
        <w:t xml:space="preserve"> sept</w:t>
      </w:r>
      <w:r w:rsidR="00C27E3C">
        <w:rPr>
          <w:rFonts w:ascii="Constantia" w:hAnsi="Constantia" w:cs="Times New Roman"/>
          <w:noProof/>
          <w:sz w:val="24"/>
          <w:szCs w:val="24"/>
          <w:lang w:val="sr-Latn-CS"/>
        </w:rPr>
        <w:t>e</w:t>
      </w:r>
      <w:r w:rsidR="00C86AD5" w:rsidRPr="00C86AD5">
        <w:rPr>
          <w:rFonts w:ascii="Constantia" w:hAnsi="Constantia" w:cs="Times New Roman"/>
          <w:noProof/>
          <w:sz w:val="24"/>
          <w:szCs w:val="24"/>
          <w:lang w:val="sr-Latn-CS"/>
        </w:rPr>
        <w:t xml:space="preserve">mbra do </w:t>
      </w:r>
      <w:r w:rsidR="00C86AD5">
        <w:rPr>
          <w:rFonts w:ascii="Constantia" w:hAnsi="Constantia" w:cs="Times New Roman"/>
          <w:noProof/>
          <w:sz w:val="24"/>
          <w:szCs w:val="24"/>
          <w:lang w:val="sr-Latn-CS"/>
        </w:rPr>
        <w:t>1.</w:t>
      </w:r>
      <w:r w:rsidR="00C27E3C">
        <w:rPr>
          <w:rFonts w:ascii="Constantia" w:hAnsi="Constantia" w:cs="Times New Roman"/>
          <w:noProof/>
          <w:sz w:val="24"/>
          <w:szCs w:val="24"/>
          <w:lang w:val="sr-Latn-CS"/>
        </w:rPr>
        <w:t xml:space="preserve"> </w:t>
      </w:r>
      <w:r w:rsidR="00C86AD5">
        <w:rPr>
          <w:rFonts w:ascii="Constantia" w:hAnsi="Constantia" w:cs="Times New Roman"/>
          <w:noProof/>
          <w:sz w:val="24"/>
          <w:szCs w:val="24"/>
          <w:lang w:val="sr-Latn-CS"/>
        </w:rPr>
        <w:t>oktobra</w:t>
      </w:r>
      <w:r w:rsidRPr="00A81FAD">
        <w:rPr>
          <w:rFonts w:ascii="Constantia" w:hAnsi="Constantia" w:cs="Times New Roman"/>
          <w:noProof/>
          <w:sz w:val="24"/>
          <w:szCs w:val="24"/>
          <w:lang w:val="sr-Latn-CS"/>
        </w:rPr>
        <w:t xml:space="preserve"> 2011. godine.</w:t>
      </w:r>
    </w:p>
    <w:p w:rsidR="00596814"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Istraživanje je realizovano na uzorku od 400 domaćinstava, na teritoriji opštine Vrbas. Urađen</w:t>
      </w:r>
      <w:r w:rsidR="00C86AD5">
        <w:rPr>
          <w:rFonts w:ascii="Constantia" w:hAnsi="Constantia" w:cs="Times New Roman"/>
          <w:noProof/>
          <w:sz w:val="24"/>
          <w:szCs w:val="24"/>
          <w:lang w:val="sr-Latn-CS"/>
        </w:rPr>
        <w:t>o</w:t>
      </w:r>
      <w:r w:rsidRPr="00A81FAD">
        <w:rPr>
          <w:rFonts w:ascii="Constantia" w:hAnsi="Constantia" w:cs="Times New Roman"/>
          <w:noProof/>
          <w:sz w:val="24"/>
          <w:szCs w:val="24"/>
          <w:lang w:val="sr-Latn-CS"/>
        </w:rPr>
        <w:t xml:space="preserve"> je </w:t>
      </w:r>
      <w:r w:rsidR="00C86AD5">
        <w:rPr>
          <w:rFonts w:ascii="Constantia" w:hAnsi="Constantia" w:cs="Times New Roman"/>
          <w:noProof/>
          <w:sz w:val="24"/>
          <w:szCs w:val="24"/>
          <w:lang w:val="sr-Latn-CS"/>
        </w:rPr>
        <w:t>36</w:t>
      </w:r>
      <w:r w:rsidRPr="00A81FAD">
        <w:rPr>
          <w:rFonts w:ascii="Constantia" w:hAnsi="Constantia" w:cs="Times New Roman"/>
          <w:noProof/>
          <w:sz w:val="24"/>
          <w:szCs w:val="24"/>
          <w:lang w:val="sr-Latn-CS"/>
        </w:rPr>
        <w:t xml:space="preserve"> punkt</w:t>
      </w:r>
      <w:r w:rsidR="00C86AD5">
        <w:rPr>
          <w:rFonts w:ascii="Constantia" w:hAnsi="Constantia" w:cs="Times New Roman"/>
          <w:noProof/>
          <w:sz w:val="24"/>
          <w:szCs w:val="24"/>
          <w:lang w:val="sr-Latn-CS"/>
        </w:rPr>
        <w:t>ova</w:t>
      </w:r>
      <w:r w:rsidRPr="00A81FAD">
        <w:rPr>
          <w:rFonts w:ascii="Constantia" w:hAnsi="Constantia" w:cs="Times New Roman"/>
          <w:noProof/>
          <w:sz w:val="24"/>
          <w:szCs w:val="24"/>
          <w:lang w:val="sr-Latn-CS"/>
        </w:rPr>
        <w:t>, a podaci su prikupljani putem upitnika, tehnikom intervjuisanja, odnosno „licem u lice“ (</w:t>
      </w:r>
      <w:r w:rsidRPr="00A81FAD">
        <w:rPr>
          <w:rFonts w:ascii="Constantia" w:hAnsi="Constantia" w:cs="Times New Roman"/>
          <w:i/>
          <w:noProof/>
          <w:sz w:val="24"/>
          <w:szCs w:val="24"/>
          <w:lang w:val="sr-Latn-CS"/>
        </w:rPr>
        <w:t>face to face</w:t>
      </w:r>
      <w:r w:rsidRPr="00A81FAD">
        <w:rPr>
          <w:rFonts w:ascii="Constantia" w:hAnsi="Constantia" w:cs="Times New Roman"/>
          <w:noProof/>
          <w:sz w:val="24"/>
          <w:szCs w:val="24"/>
          <w:lang w:val="sr-Latn-CS"/>
        </w:rPr>
        <w:t xml:space="preserve">) anketara i ispitanika. </w:t>
      </w:r>
    </w:p>
    <w:p w:rsidR="00C918C5" w:rsidRDefault="00C918C5" w:rsidP="00596814">
      <w:pPr>
        <w:jc w:val="both"/>
        <w:rPr>
          <w:rFonts w:ascii="Constantia" w:hAnsi="Constantia" w:cs="Times New Roman"/>
          <w:noProof/>
          <w:sz w:val="24"/>
          <w:szCs w:val="24"/>
          <w:lang w:val="sr-Latn-CS"/>
        </w:rPr>
      </w:pPr>
    </w:p>
    <w:p w:rsidR="00C918C5" w:rsidRPr="00A81FAD" w:rsidRDefault="00C918C5" w:rsidP="00596814">
      <w:pPr>
        <w:jc w:val="both"/>
        <w:rPr>
          <w:rFonts w:ascii="Constantia" w:hAnsi="Constantia" w:cs="Times New Roman"/>
          <w:i/>
          <w:noProof/>
          <w:sz w:val="24"/>
          <w:szCs w:val="24"/>
          <w:lang w:val="sr-Latn-CS"/>
        </w:rPr>
      </w:pPr>
    </w:p>
    <w:p w:rsidR="00596814" w:rsidRPr="00A81FAD" w:rsidRDefault="00596814" w:rsidP="00596814">
      <w:pPr>
        <w:spacing w:after="120"/>
        <w:jc w:val="both"/>
        <w:rPr>
          <w:rFonts w:ascii="Constantia" w:hAnsi="Constantia" w:cs="Times New Roman"/>
          <w:noProof/>
          <w:sz w:val="24"/>
          <w:szCs w:val="24"/>
          <w:lang w:val="sr-Latn-CS"/>
        </w:rPr>
      </w:pPr>
    </w:p>
    <w:p w:rsidR="00596814" w:rsidRPr="00A81FAD" w:rsidRDefault="00A81FAD" w:rsidP="00A81FAD">
      <w:pPr>
        <w:pBdr>
          <w:top w:val="single" w:sz="4" w:space="1" w:color="auto"/>
          <w:left w:val="single" w:sz="4" w:space="4" w:color="auto"/>
          <w:bottom w:val="single" w:sz="4" w:space="1" w:color="auto"/>
          <w:right w:val="single" w:sz="4" w:space="4" w:color="auto"/>
        </w:pBdr>
        <w:jc w:val="both"/>
        <w:rPr>
          <w:rFonts w:ascii="Constantia" w:hAnsi="Constantia" w:cs="Times New Roman"/>
          <w:i/>
          <w:noProof/>
          <w:sz w:val="24"/>
          <w:szCs w:val="24"/>
          <w:lang w:val="sr-Latn-CS"/>
        </w:rPr>
      </w:pPr>
      <w:r w:rsidRPr="00A81FAD">
        <w:rPr>
          <w:rFonts w:ascii="Constantia" w:hAnsi="Constantia" w:cs="Times New Roman"/>
          <w:i/>
          <w:noProof/>
          <w:sz w:val="24"/>
          <w:szCs w:val="24"/>
          <w:lang w:val="sr-Latn-CS"/>
        </w:rPr>
        <w:t>OPIS UZORKA.</w:t>
      </w:r>
    </w:p>
    <w:p w:rsidR="00596814" w:rsidRPr="00A81FAD" w:rsidRDefault="00596814" w:rsidP="00A81FAD">
      <w:pPr>
        <w:pBdr>
          <w:top w:val="single" w:sz="4" w:space="1" w:color="auto"/>
          <w:left w:val="single" w:sz="4" w:space="4" w:color="auto"/>
          <w:bottom w:val="single" w:sz="4" w:space="1" w:color="auto"/>
          <w:right w:val="single" w:sz="4" w:space="4" w:color="auto"/>
        </w:pBdr>
        <w:jc w:val="both"/>
        <w:rPr>
          <w:rFonts w:ascii="Constantia" w:hAnsi="Constantia" w:cs="Times New Roman"/>
          <w:noProof/>
          <w:sz w:val="24"/>
          <w:szCs w:val="24"/>
          <w:lang w:val="sr-Latn-CS"/>
        </w:rPr>
      </w:pPr>
      <w:r w:rsidRPr="00A81FAD">
        <w:rPr>
          <w:rFonts w:ascii="Constantia" w:hAnsi="Constantia" w:cs="Times New Roman"/>
          <w:b/>
          <w:noProof/>
          <w:sz w:val="24"/>
          <w:szCs w:val="24"/>
          <w:lang w:val="sr-Latn-CS"/>
        </w:rPr>
        <w:t xml:space="preserve">Pol: </w:t>
      </w:r>
      <w:r w:rsidRPr="00A81FAD">
        <w:rPr>
          <w:rFonts w:ascii="Constantia" w:hAnsi="Constantia" w:cs="Times New Roman"/>
          <w:noProof/>
          <w:sz w:val="24"/>
          <w:szCs w:val="24"/>
          <w:lang w:val="sr-Latn-CS"/>
        </w:rPr>
        <w:t>muški – 52%; žene – 48%.</w:t>
      </w:r>
    </w:p>
    <w:p w:rsidR="00596814" w:rsidRPr="00A81FAD" w:rsidRDefault="00596814" w:rsidP="00A81FAD">
      <w:pPr>
        <w:pBdr>
          <w:top w:val="single" w:sz="4" w:space="1" w:color="auto"/>
          <w:left w:val="single" w:sz="4" w:space="4" w:color="auto"/>
          <w:bottom w:val="single" w:sz="4" w:space="1" w:color="auto"/>
          <w:right w:val="single" w:sz="4" w:space="4" w:color="auto"/>
        </w:pBdr>
        <w:jc w:val="both"/>
        <w:rPr>
          <w:rFonts w:ascii="Constantia" w:hAnsi="Constantia" w:cs="Times New Roman"/>
          <w:noProof/>
          <w:sz w:val="24"/>
          <w:szCs w:val="24"/>
          <w:lang w:val="sr-Latn-CS"/>
        </w:rPr>
      </w:pPr>
      <w:r w:rsidRPr="00A81FAD">
        <w:rPr>
          <w:rFonts w:ascii="Constantia" w:hAnsi="Constantia" w:cs="Times New Roman"/>
          <w:b/>
          <w:noProof/>
          <w:sz w:val="24"/>
          <w:szCs w:val="24"/>
          <w:lang w:val="sr-Latn-CS"/>
        </w:rPr>
        <w:t>Starost:</w:t>
      </w:r>
      <w:r w:rsidRPr="00A81FAD">
        <w:rPr>
          <w:rFonts w:ascii="Constantia" w:hAnsi="Constantia" w:cs="Times New Roman"/>
          <w:noProof/>
          <w:sz w:val="24"/>
          <w:szCs w:val="24"/>
          <w:lang w:val="sr-Latn-CS"/>
        </w:rPr>
        <w:t xml:space="preserve"> od 18 do 29 godina – 11%; od 30 do 39 godina – 10%; od 40 do 49 godina – 15%; od 50 do 59 godina – 20%; 60 i više godina – 44%.</w:t>
      </w:r>
    </w:p>
    <w:p w:rsidR="00596814" w:rsidRPr="00A81FAD" w:rsidRDefault="00596814" w:rsidP="00A81FAD">
      <w:pPr>
        <w:pBdr>
          <w:top w:val="single" w:sz="4" w:space="1" w:color="auto"/>
          <w:left w:val="single" w:sz="4" w:space="4" w:color="auto"/>
          <w:bottom w:val="single" w:sz="4" w:space="1" w:color="auto"/>
          <w:right w:val="single" w:sz="4" w:space="4" w:color="auto"/>
        </w:pBdr>
        <w:jc w:val="both"/>
        <w:rPr>
          <w:rFonts w:ascii="Constantia" w:hAnsi="Constantia" w:cs="Times New Roman"/>
          <w:noProof/>
          <w:sz w:val="24"/>
          <w:szCs w:val="24"/>
          <w:lang w:val="sr-Latn-CS"/>
        </w:rPr>
      </w:pPr>
      <w:r w:rsidRPr="00A81FAD">
        <w:rPr>
          <w:rFonts w:ascii="Constantia" w:hAnsi="Constantia" w:cs="Times New Roman"/>
          <w:b/>
          <w:noProof/>
          <w:sz w:val="24"/>
          <w:szCs w:val="24"/>
          <w:lang w:val="sr-Latn-CS"/>
        </w:rPr>
        <w:t xml:space="preserve">Školska sprema: </w:t>
      </w:r>
      <w:r w:rsidRPr="00A81FAD">
        <w:rPr>
          <w:rFonts w:ascii="Constantia" w:hAnsi="Constantia" w:cs="Times New Roman"/>
          <w:noProof/>
          <w:sz w:val="24"/>
          <w:szCs w:val="24"/>
          <w:lang w:val="sr-Latn-CS"/>
        </w:rPr>
        <w:t>bez škole/osnovna škola – 26%; škola za radnička zanimanja – 7%; srednja škola – 50%; viša škola ili fakultet – 13%; učenik/student – 4%.</w:t>
      </w:r>
    </w:p>
    <w:p w:rsidR="00596814" w:rsidRPr="00A81FAD" w:rsidRDefault="00596814" w:rsidP="00A81FAD">
      <w:pPr>
        <w:pBdr>
          <w:top w:val="single" w:sz="4" w:space="1" w:color="auto"/>
          <w:left w:val="single" w:sz="4" w:space="4" w:color="auto"/>
          <w:bottom w:val="single" w:sz="4" w:space="1" w:color="auto"/>
          <w:right w:val="single" w:sz="4" w:space="4" w:color="auto"/>
        </w:pBdr>
        <w:jc w:val="both"/>
        <w:rPr>
          <w:rFonts w:ascii="Constantia" w:hAnsi="Constantia" w:cs="Times New Roman"/>
          <w:b/>
          <w:noProof/>
          <w:sz w:val="24"/>
          <w:szCs w:val="24"/>
          <w:lang w:val="sr-Latn-CS"/>
        </w:rPr>
      </w:pPr>
      <w:r w:rsidRPr="00A81FAD">
        <w:rPr>
          <w:rFonts w:ascii="Constantia" w:hAnsi="Constantia" w:cs="Times New Roman"/>
          <w:b/>
          <w:noProof/>
          <w:sz w:val="24"/>
          <w:szCs w:val="24"/>
          <w:lang w:val="sr-Latn-CS"/>
        </w:rPr>
        <w:t xml:space="preserve">Zanimanje: </w:t>
      </w:r>
      <w:r w:rsidRPr="00A81FAD">
        <w:rPr>
          <w:rFonts w:ascii="Constantia" w:hAnsi="Constantia" w:cs="Times New Roman"/>
          <w:noProof/>
          <w:sz w:val="24"/>
          <w:szCs w:val="24"/>
          <w:lang w:val="sr-Latn-CS"/>
        </w:rPr>
        <w:t>poljoprivrednik – 3%; NK ili PK radnik – 12%; KV ili VK radnik – 34%;  tehničar – 14%; službenik – 6%; stručnjak – 11%; domaćica – 15%; učenik/student – 5%.</w:t>
      </w:r>
    </w:p>
    <w:p w:rsidR="00596814" w:rsidRPr="00A81FAD" w:rsidRDefault="00596814" w:rsidP="00596814">
      <w:pPr>
        <w:jc w:val="both"/>
        <w:rPr>
          <w:rFonts w:ascii="Constantia" w:hAnsi="Constantia" w:cs="Times New Roman"/>
          <w:b/>
          <w:noProof/>
          <w:sz w:val="24"/>
          <w:szCs w:val="24"/>
          <w:lang w:val="sr-Latn-CS"/>
        </w:rPr>
      </w:pPr>
    </w:p>
    <w:p w:rsidR="00596814" w:rsidRPr="00A81FAD" w:rsidRDefault="00596814" w:rsidP="00596814">
      <w:pPr>
        <w:spacing w:after="120"/>
        <w:jc w:val="both"/>
        <w:rPr>
          <w:rFonts w:ascii="Constantia" w:hAnsi="Constantia" w:cs="Times New Roman"/>
          <w:noProof/>
          <w:sz w:val="24"/>
          <w:szCs w:val="24"/>
          <w:lang w:val="sr-Latn-CS"/>
        </w:rPr>
      </w:pPr>
    </w:p>
    <w:p w:rsidR="00596814" w:rsidRPr="00A81FAD" w:rsidRDefault="00A81FAD" w:rsidP="00A81FAD">
      <w:pPr>
        <w:rPr>
          <w:rFonts w:ascii="Constantia" w:hAnsi="Constantia" w:cs="Times New Roman"/>
          <w:noProof/>
          <w:sz w:val="36"/>
          <w:szCs w:val="36"/>
          <w:lang w:val="sr-Latn-CS"/>
        </w:rPr>
      </w:pPr>
      <w:r>
        <w:rPr>
          <w:rFonts w:ascii="Constantia" w:hAnsi="Constantia" w:cs="Times New Roman"/>
          <w:b/>
          <w:noProof/>
          <w:sz w:val="36"/>
          <w:szCs w:val="36"/>
          <w:lang w:val="sr-Latn-CS"/>
        </w:rPr>
        <w:t xml:space="preserve">2. </w:t>
      </w:r>
      <w:r w:rsidR="00596814" w:rsidRPr="00A81FAD">
        <w:rPr>
          <w:rFonts w:ascii="Constantia" w:hAnsi="Constantia" w:cs="Times New Roman"/>
          <w:b/>
          <w:noProof/>
          <w:sz w:val="36"/>
          <w:szCs w:val="36"/>
          <w:lang w:val="sr-Latn-CS"/>
        </w:rPr>
        <w:t>Navike građana Vrbasa u grejanju domaćinstva</w:t>
      </w:r>
    </w:p>
    <w:p w:rsidR="00596814" w:rsidRPr="00A81FAD" w:rsidRDefault="00596814" w:rsidP="00596814">
      <w:pPr>
        <w:rPr>
          <w:rFonts w:ascii="Constantia" w:hAnsi="Constantia" w:cs="Times New Roman"/>
          <w:noProof/>
          <w:sz w:val="28"/>
          <w:szCs w:val="28"/>
          <w:lang w:val="sr-Latn-CS"/>
        </w:rPr>
      </w:pPr>
    </w:p>
    <w:p w:rsidR="00596814" w:rsidRPr="00A81FAD" w:rsidRDefault="00596814" w:rsidP="00596814">
      <w:pPr>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1. </w:t>
      </w:r>
      <w:r w:rsidRPr="00A81FAD">
        <w:rPr>
          <w:rFonts w:ascii="Constantia" w:hAnsi="Constantia" w:cs="Times New Roman"/>
          <w:b/>
          <w:noProof/>
          <w:sz w:val="24"/>
          <w:szCs w:val="24"/>
          <w:lang w:val="sr-Latn-CS"/>
        </w:rPr>
        <w:t>Kako se građani Vrbasa greju</w:t>
      </w:r>
      <w:r w:rsidRPr="00A81FAD">
        <w:rPr>
          <w:rFonts w:ascii="Constantia" w:hAnsi="Constantia" w:cs="Times New Roman"/>
          <w:noProof/>
          <w:sz w:val="24"/>
          <w:szCs w:val="24"/>
          <w:lang w:val="sr-Latn-CS"/>
        </w:rPr>
        <w:t xml:space="preserve"> (%)</w:t>
      </w:r>
    </w:p>
    <w:p w:rsidR="00596814" w:rsidRPr="00A81FAD" w:rsidRDefault="00596814" w:rsidP="00A81FAD">
      <w:pPr>
        <w:jc w:val="center"/>
        <w:rPr>
          <w:rFonts w:ascii="Constantia" w:hAnsi="Constantia"/>
          <w:noProof/>
          <w:lang w:val="sr-Latn-CS"/>
        </w:rPr>
      </w:pPr>
      <w:r w:rsidRPr="00A81FAD">
        <w:rPr>
          <w:rFonts w:ascii="Constantia" w:hAnsi="Constantia"/>
          <w:noProof/>
        </w:rPr>
        <w:drawing>
          <wp:inline distT="0" distB="0" distL="0" distR="0">
            <wp:extent cx="6296025" cy="2552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6814" w:rsidRPr="00A81FAD" w:rsidRDefault="00596814" w:rsidP="00596814">
      <w:pPr>
        <w:pStyle w:val="ListParagraph"/>
        <w:numPr>
          <w:ilvl w:val="0"/>
          <w:numId w:val="6"/>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Najveći deo građana Vrbasa se g</w:t>
      </w:r>
      <w:r w:rsidR="00C86AD5">
        <w:rPr>
          <w:rFonts w:ascii="Constantia" w:hAnsi="Constantia" w:cs="Times New Roman"/>
          <w:noProof/>
          <w:sz w:val="24"/>
          <w:szCs w:val="24"/>
          <w:lang w:val="sr-Latn-CS"/>
        </w:rPr>
        <w:t>reje pojedinačnim uređajima, tačnije</w:t>
      </w:r>
      <w:r w:rsidRPr="00A81FAD">
        <w:rPr>
          <w:rFonts w:ascii="Constantia" w:hAnsi="Constantia" w:cs="Times New Roman"/>
          <w:noProof/>
          <w:sz w:val="24"/>
          <w:szCs w:val="24"/>
          <w:lang w:val="sr-Latn-CS"/>
        </w:rPr>
        <w:t xml:space="preserve"> 7% njih koristi električne uređaje, a 67% uređaje za grejanje u kojima koristi neko drugo gorivo. Dakle, radi se o domaćinstvima u kojima većina ispitanika koristi pojedinačne aparate da bi zagrejala prostor u kome živi. </w:t>
      </w:r>
    </w:p>
    <w:p w:rsidR="00596814" w:rsidRPr="00A81FAD" w:rsidRDefault="00596814" w:rsidP="00596814">
      <w:pPr>
        <w:pStyle w:val="ListParagraph"/>
        <w:numPr>
          <w:ilvl w:val="0"/>
          <w:numId w:val="6"/>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Oko četvrtine ispitanika koristi ili etažno grejanje ili centralno (daljinski sistem grejanja). Njih 15% ispitanika koristi etažno grejanje koje ima samostalan izvor toplote. Na sistem</w:t>
      </w:r>
      <w:r w:rsidR="00A81FAD">
        <w:rPr>
          <w:rFonts w:ascii="Constantia" w:hAnsi="Constantia" w:cs="Times New Roman"/>
          <w:noProof/>
          <w:sz w:val="24"/>
          <w:szCs w:val="24"/>
          <w:lang w:val="sr-Latn-CS"/>
        </w:rPr>
        <w:t xml:space="preserve"> daljinskog grejanja priključene</w:t>
      </w:r>
      <w:r w:rsidRPr="00A81FAD">
        <w:rPr>
          <w:rFonts w:ascii="Constantia" w:hAnsi="Constantia" w:cs="Times New Roman"/>
          <w:noProof/>
          <w:sz w:val="24"/>
          <w:szCs w:val="24"/>
          <w:lang w:val="sr-Latn-CS"/>
        </w:rPr>
        <w:t xml:space="preserve"> </w:t>
      </w:r>
      <w:r w:rsidR="00A81FAD">
        <w:rPr>
          <w:rFonts w:ascii="Constantia" w:hAnsi="Constantia" w:cs="Times New Roman"/>
          <w:noProof/>
          <w:sz w:val="24"/>
          <w:szCs w:val="24"/>
          <w:lang w:val="sr-Latn-CS"/>
        </w:rPr>
        <w:t>su</w:t>
      </w:r>
      <w:r w:rsidRPr="00A81FAD">
        <w:rPr>
          <w:rFonts w:ascii="Constantia" w:hAnsi="Constantia" w:cs="Times New Roman"/>
          <w:noProof/>
          <w:sz w:val="24"/>
          <w:szCs w:val="24"/>
          <w:lang w:val="sr-Latn-CS"/>
        </w:rPr>
        <w:t xml:space="preserve"> deseti</w:t>
      </w:r>
      <w:r w:rsidR="00A81FAD">
        <w:rPr>
          <w:rFonts w:ascii="Constantia" w:hAnsi="Constantia" w:cs="Times New Roman"/>
          <w:noProof/>
          <w:sz w:val="24"/>
          <w:szCs w:val="24"/>
          <w:lang w:val="sr-Latn-CS"/>
        </w:rPr>
        <w:t>ne</w:t>
      </w:r>
      <w:r w:rsidRPr="00A81FAD">
        <w:rPr>
          <w:rFonts w:ascii="Constantia" w:hAnsi="Constantia" w:cs="Times New Roman"/>
          <w:noProof/>
          <w:sz w:val="24"/>
          <w:szCs w:val="24"/>
          <w:lang w:val="sr-Latn-CS"/>
        </w:rPr>
        <w:t xml:space="preserve"> domaćinstava u Vrbasu, tačnije njih 11%. </w:t>
      </w:r>
    </w:p>
    <w:p w:rsidR="00596814" w:rsidRPr="00A81FAD" w:rsidRDefault="00596814" w:rsidP="00596814">
      <w:pPr>
        <w:jc w:val="both"/>
        <w:rPr>
          <w:rFonts w:ascii="Constantia" w:hAnsi="Constantia" w:cs="Times New Roman"/>
          <w:noProof/>
          <w:sz w:val="24"/>
          <w:szCs w:val="24"/>
          <w:lang w:val="sr-Latn-CS"/>
        </w:rPr>
      </w:pP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Tabela 1. </w:t>
      </w:r>
      <w:r w:rsidRPr="00A81FAD">
        <w:rPr>
          <w:rFonts w:ascii="Constantia" w:hAnsi="Constantia" w:cs="Times New Roman"/>
          <w:b/>
          <w:noProof/>
          <w:sz w:val="24"/>
          <w:szCs w:val="24"/>
          <w:lang w:val="sr-Latn-CS"/>
        </w:rPr>
        <w:t>Vrsta goriva koju koriste za grejanje</w:t>
      </w:r>
      <w:r w:rsidRPr="00A81FAD">
        <w:rPr>
          <w:rFonts w:ascii="Constantia" w:hAnsi="Constantia" w:cs="Times New Roman"/>
          <w:noProof/>
          <w:sz w:val="24"/>
          <w:szCs w:val="24"/>
          <w:lang w:val="sr-Latn-CS"/>
        </w:rPr>
        <w:t xml:space="preserve"> (%)</w:t>
      </w:r>
    </w:p>
    <w:tbl>
      <w:tblPr>
        <w:tblW w:w="10983" w:type="dxa"/>
        <w:jc w:val="center"/>
        <w:tblInd w:w="103" w:type="dxa"/>
        <w:tblLook w:val="04A0"/>
      </w:tblPr>
      <w:tblGrid>
        <w:gridCol w:w="2226"/>
        <w:gridCol w:w="1087"/>
        <w:gridCol w:w="1012"/>
        <w:gridCol w:w="990"/>
        <w:gridCol w:w="1608"/>
        <w:gridCol w:w="900"/>
        <w:gridCol w:w="3160"/>
      </w:tblGrid>
      <w:tr w:rsidR="00596814" w:rsidRPr="00A81FAD" w:rsidTr="00A81FAD">
        <w:trPr>
          <w:trHeight w:val="432"/>
          <w:jc w:val="center"/>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Toplana</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Struja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Drva</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Prirodni gas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Ugalj</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Nešto drugo (šaša, briket..)</w:t>
            </w:r>
          </w:p>
        </w:tc>
      </w:tr>
      <w:tr w:rsidR="00596814" w:rsidRPr="00A81FAD" w:rsidTr="00A81FAD">
        <w:trPr>
          <w:trHeight w:val="432"/>
          <w:jc w:val="center"/>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xml:space="preserve"> Daljinsko grejanje</w:t>
            </w:r>
          </w:p>
        </w:tc>
        <w:tc>
          <w:tcPr>
            <w:tcW w:w="108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52</w:t>
            </w:r>
          </w:p>
        </w:tc>
        <w:tc>
          <w:tcPr>
            <w:tcW w:w="1012"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c>
          <w:tcPr>
            <w:tcW w:w="99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7</w:t>
            </w:r>
          </w:p>
        </w:tc>
        <w:tc>
          <w:tcPr>
            <w:tcW w:w="160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29</w:t>
            </w:r>
          </w:p>
        </w:tc>
        <w:tc>
          <w:tcPr>
            <w:tcW w:w="90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12</w:t>
            </w:r>
          </w:p>
        </w:tc>
        <w:tc>
          <w:tcPr>
            <w:tcW w:w="316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r>
      <w:tr w:rsidR="00596814" w:rsidRPr="00A81FAD" w:rsidTr="00A81FAD">
        <w:trPr>
          <w:trHeight w:val="432"/>
          <w:jc w:val="center"/>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xml:space="preserve">Etažno grejanje </w:t>
            </w:r>
          </w:p>
        </w:tc>
        <w:tc>
          <w:tcPr>
            <w:tcW w:w="108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5</w:t>
            </w:r>
          </w:p>
        </w:tc>
        <w:tc>
          <w:tcPr>
            <w:tcW w:w="1012"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3</w:t>
            </w:r>
          </w:p>
        </w:tc>
        <w:tc>
          <w:tcPr>
            <w:tcW w:w="99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39</w:t>
            </w:r>
          </w:p>
        </w:tc>
        <w:tc>
          <w:tcPr>
            <w:tcW w:w="160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23</w:t>
            </w:r>
          </w:p>
        </w:tc>
        <w:tc>
          <w:tcPr>
            <w:tcW w:w="90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25</w:t>
            </w:r>
          </w:p>
        </w:tc>
        <w:tc>
          <w:tcPr>
            <w:tcW w:w="316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5</w:t>
            </w:r>
          </w:p>
        </w:tc>
      </w:tr>
      <w:tr w:rsidR="00596814" w:rsidRPr="00A81FAD" w:rsidTr="00A81FAD">
        <w:trPr>
          <w:trHeight w:val="432"/>
          <w:jc w:val="center"/>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xml:space="preserve">Električni aparati </w:t>
            </w:r>
          </w:p>
        </w:tc>
        <w:tc>
          <w:tcPr>
            <w:tcW w:w="108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c>
          <w:tcPr>
            <w:tcW w:w="1012"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93</w:t>
            </w:r>
          </w:p>
        </w:tc>
        <w:tc>
          <w:tcPr>
            <w:tcW w:w="99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c>
          <w:tcPr>
            <w:tcW w:w="160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7</w:t>
            </w:r>
          </w:p>
        </w:tc>
        <w:tc>
          <w:tcPr>
            <w:tcW w:w="90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c>
          <w:tcPr>
            <w:tcW w:w="316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r>
      <w:tr w:rsidR="00596814" w:rsidRPr="00A81FAD" w:rsidTr="00A81FAD">
        <w:trPr>
          <w:trHeight w:val="432"/>
          <w:jc w:val="center"/>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xml:space="preserve">Uređaji za grejanje </w:t>
            </w:r>
          </w:p>
        </w:tc>
        <w:tc>
          <w:tcPr>
            <w:tcW w:w="108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c>
          <w:tcPr>
            <w:tcW w:w="1012"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1</w:t>
            </w:r>
          </w:p>
        </w:tc>
        <w:tc>
          <w:tcPr>
            <w:tcW w:w="99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71</w:t>
            </w:r>
          </w:p>
        </w:tc>
        <w:tc>
          <w:tcPr>
            <w:tcW w:w="160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p>
        </w:tc>
        <w:tc>
          <w:tcPr>
            <w:tcW w:w="90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26</w:t>
            </w:r>
          </w:p>
        </w:tc>
        <w:tc>
          <w:tcPr>
            <w:tcW w:w="316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1</w:t>
            </w:r>
          </w:p>
        </w:tc>
      </w:tr>
      <w:tr w:rsidR="00596814" w:rsidRPr="00A81FAD" w:rsidTr="00A81FAD">
        <w:trPr>
          <w:trHeight w:val="432"/>
          <w:jc w:val="center"/>
        </w:trPr>
        <w:tc>
          <w:tcPr>
            <w:tcW w:w="222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Prosek</w:t>
            </w:r>
          </w:p>
        </w:tc>
        <w:tc>
          <w:tcPr>
            <w:tcW w:w="108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6</w:t>
            </w:r>
          </w:p>
        </w:tc>
        <w:tc>
          <w:tcPr>
            <w:tcW w:w="1012"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8</w:t>
            </w:r>
          </w:p>
        </w:tc>
        <w:tc>
          <w:tcPr>
            <w:tcW w:w="99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55</w:t>
            </w:r>
          </w:p>
        </w:tc>
        <w:tc>
          <w:tcPr>
            <w:tcW w:w="160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7</w:t>
            </w:r>
          </w:p>
        </w:tc>
        <w:tc>
          <w:tcPr>
            <w:tcW w:w="90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23</w:t>
            </w:r>
          </w:p>
        </w:tc>
        <w:tc>
          <w:tcPr>
            <w:tcW w:w="3160"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2</w:t>
            </w:r>
          </w:p>
        </w:tc>
      </w:tr>
    </w:tbl>
    <w:p w:rsidR="00596814" w:rsidRPr="00A81FAD" w:rsidRDefault="00596814" w:rsidP="00596814">
      <w:pPr>
        <w:jc w:val="both"/>
        <w:rPr>
          <w:rFonts w:ascii="Constantia" w:hAnsi="Constantia" w:cs="Times New Roman"/>
          <w:noProof/>
          <w:sz w:val="24"/>
          <w:szCs w:val="24"/>
          <w:lang w:val="sr-Latn-CS"/>
        </w:rPr>
      </w:pPr>
    </w:p>
    <w:p w:rsidR="00596814" w:rsidRPr="00A81FAD" w:rsidRDefault="00596814" w:rsidP="00596814">
      <w:pPr>
        <w:pStyle w:val="ListParagraph"/>
        <w:numPr>
          <w:ilvl w:val="0"/>
          <w:numId w:val="7"/>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Najveći broj građana Vrbasa se greje na drva i to je primarni izvor energije za njihova domaćinstva. </w:t>
      </w:r>
      <w:r w:rsidR="008D288C">
        <w:rPr>
          <w:rFonts w:ascii="Constantia" w:hAnsi="Constantia" w:cs="Times New Roman"/>
          <w:noProof/>
          <w:sz w:val="24"/>
          <w:szCs w:val="24"/>
          <w:lang w:val="sr-Latn-CS"/>
        </w:rPr>
        <w:t>Osim</w:t>
      </w:r>
      <w:r w:rsidRPr="00A81FAD">
        <w:rPr>
          <w:rFonts w:ascii="Constantia" w:hAnsi="Constantia" w:cs="Times New Roman"/>
          <w:noProof/>
          <w:sz w:val="24"/>
          <w:szCs w:val="24"/>
          <w:lang w:val="sr-Latn-CS"/>
        </w:rPr>
        <w:t xml:space="preserve"> drva, značajn</w:t>
      </w:r>
      <w:r w:rsidR="008D288C">
        <w:rPr>
          <w:rFonts w:ascii="Constantia" w:hAnsi="Constantia" w:cs="Times New Roman"/>
          <w:noProof/>
          <w:sz w:val="24"/>
          <w:szCs w:val="24"/>
          <w:lang w:val="sr-Latn-CS"/>
        </w:rPr>
        <w:t>o je i učešće uglja kao energen</w:t>
      </w:r>
      <w:r w:rsidRPr="00A81FAD">
        <w:rPr>
          <w:rFonts w:ascii="Constantia" w:hAnsi="Constantia" w:cs="Times New Roman"/>
          <w:noProof/>
          <w:sz w:val="24"/>
          <w:szCs w:val="24"/>
          <w:lang w:val="sr-Latn-CS"/>
        </w:rPr>
        <w:t xml:space="preserve">ta i ono se pojavljuju kod 23% ispitanika. Podaci o korisnicima struje za zagrevanje prostora u kome žive su slični, pa tako u proseku 8% ispitanika koristi električne aparate kako bi zagrejali prostor. </w:t>
      </w:r>
    </w:p>
    <w:p w:rsidR="00596814" w:rsidRPr="00A81FAD" w:rsidRDefault="00596814" w:rsidP="00596814">
      <w:pPr>
        <w:pStyle w:val="ListParagraph"/>
        <w:numPr>
          <w:ilvl w:val="0"/>
          <w:numId w:val="7"/>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Možemo primetiti da se ugalj najviše koristi u domaćinstvima koja koriste uređaje za grejanje, ali i etažni sistem. Svaki četvrti ispitanik Vrbasa koristi ugalj, a da pritom ima etažni sistem grejanja u svom domaćinstvu. </w:t>
      </w:r>
    </w:p>
    <w:p w:rsidR="00596814" w:rsidRPr="00A81FAD" w:rsidRDefault="00596814" w:rsidP="00596814">
      <w:pPr>
        <w:pStyle w:val="ListParagraph"/>
        <w:numPr>
          <w:ilvl w:val="0"/>
          <w:numId w:val="7"/>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Čak 71% ispitanika koristi drva kada sopstveno domaćinstvo greje preko individualnih grejnih tela, međutim, </w:t>
      </w:r>
      <w:r w:rsidR="008D288C">
        <w:rPr>
          <w:rFonts w:ascii="Constantia" w:hAnsi="Constantia" w:cs="Times New Roman"/>
          <w:noProof/>
          <w:sz w:val="24"/>
          <w:szCs w:val="24"/>
          <w:lang w:val="sr-Latn-CS"/>
        </w:rPr>
        <w:t xml:space="preserve">nije zanemariv procenat </w:t>
      </w:r>
      <w:r w:rsidRPr="00A81FAD">
        <w:rPr>
          <w:rFonts w:ascii="Constantia" w:hAnsi="Constantia" w:cs="Times New Roman"/>
          <w:noProof/>
          <w:sz w:val="24"/>
          <w:szCs w:val="24"/>
          <w:lang w:val="sr-Latn-CS"/>
        </w:rPr>
        <w:t xml:space="preserve">i onih koji koriste drva kao ogrevni materijal, a da su pritom korisnici etažnog grejanja. </w:t>
      </w:r>
    </w:p>
    <w:p w:rsidR="00596814" w:rsidRDefault="00596814" w:rsidP="00596814">
      <w:pPr>
        <w:jc w:val="both"/>
        <w:rPr>
          <w:rFonts w:ascii="Constantia" w:hAnsi="Constantia" w:cs="Times New Roman"/>
          <w:noProof/>
          <w:sz w:val="24"/>
          <w:szCs w:val="24"/>
          <w:lang w:val="sr-Latn-CS"/>
        </w:rPr>
      </w:pPr>
    </w:p>
    <w:p w:rsidR="00C918C5" w:rsidRDefault="00C918C5" w:rsidP="00596814">
      <w:pPr>
        <w:jc w:val="both"/>
        <w:rPr>
          <w:rFonts w:ascii="Constantia" w:hAnsi="Constantia" w:cs="Times New Roman"/>
          <w:noProof/>
          <w:sz w:val="24"/>
          <w:szCs w:val="24"/>
          <w:lang w:val="sr-Latn-CS"/>
        </w:rPr>
      </w:pPr>
    </w:p>
    <w:p w:rsidR="00C918C5" w:rsidRDefault="00C918C5" w:rsidP="00596814">
      <w:pPr>
        <w:jc w:val="both"/>
        <w:rPr>
          <w:rFonts w:ascii="Constantia" w:hAnsi="Constantia" w:cs="Times New Roman"/>
          <w:noProof/>
          <w:sz w:val="24"/>
          <w:szCs w:val="24"/>
          <w:lang w:val="sr-Latn-CS"/>
        </w:rPr>
      </w:pPr>
    </w:p>
    <w:p w:rsidR="00C918C5" w:rsidRDefault="00C918C5" w:rsidP="00596814">
      <w:pPr>
        <w:contextualSpacing/>
        <w:jc w:val="both"/>
        <w:rPr>
          <w:rFonts w:ascii="Constantia" w:hAnsi="Constantia" w:cs="Times New Roman"/>
          <w:noProof/>
          <w:sz w:val="24"/>
          <w:szCs w:val="24"/>
          <w:lang w:val="sr-Latn-CS"/>
        </w:rPr>
      </w:pP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2. </w:t>
      </w:r>
      <w:r w:rsidRPr="00A81FAD">
        <w:rPr>
          <w:rFonts w:ascii="Constantia" w:hAnsi="Constantia" w:cs="Times New Roman"/>
          <w:b/>
          <w:noProof/>
          <w:sz w:val="24"/>
          <w:szCs w:val="24"/>
          <w:lang w:val="sr-Latn-CS"/>
        </w:rPr>
        <w:t>Zadovoljstvo postojećim načinom grejanja</w:t>
      </w:r>
      <w:r w:rsidRPr="00A81FAD">
        <w:rPr>
          <w:rFonts w:ascii="Constantia" w:hAnsi="Constantia" w:cs="Times New Roman"/>
          <w:noProof/>
          <w:sz w:val="24"/>
          <w:szCs w:val="24"/>
          <w:lang w:val="sr-Latn-CS"/>
        </w:rPr>
        <w:t xml:space="preserve"> (%)</w:t>
      </w:r>
    </w:p>
    <w:p w:rsidR="00596814" w:rsidRPr="00A81FAD" w:rsidRDefault="00596814" w:rsidP="008D288C">
      <w:pPr>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6248400" cy="23431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6814" w:rsidRPr="00A81FAD" w:rsidRDefault="00596814" w:rsidP="00596814">
      <w:pPr>
        <w:pStyle w:val="ListParagraph"/>
        <w:numPr>
          <w:ilvl w:val="0"/>
          <w:numId w:val="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Veliko zadovoljstvo načinom</w:t>
      </w:r>
      <w:r w:rsidR="00F73083">
        <w:rPr>
          <w:rFonts w:ascii="Constantia" w:hAnsi="Constantia" w:cs="Times New Roman"/>
          <w:noProof/>
          <w:sz w:val="24"/>
          <w:szCs w:val="24"/>
          <w:lang w:val="sr-Latn-CS"/>
        </w:rPr>
        <w:t xml:space="preserve"> rada toplana i kvalitetom grejanja </w:t>
      </w:r>
      <w:r w:rsidRPr="00A81FAD">
        <w:rPr>
          <w:rFonts w:ascii="Constantia" w:hAnsi="Constantia" w:cs="Times New Roman"/>
          <w:noProof/>
          <w:sz w:val="24"/>
          <w:szCs w:val="24"/>
          <w:lang w:val="sr-Latn-CS"/>
        </w:rPr>
        <w:t>iskazuju domaćinstva koja imaju centralno grejanje. Dve trećine ispitanika smatra da je ovaj vid grejanja odličnog kvaliteta, dok 24% ispitanika smatra da je centralno grejanje dobro, ali da bi moglo da bude toplije.</w:t>
      </w:r>
    </w:p>
    <w:p w:rsidR="00596814" w:rsidRPr="00A81FAD" w:rsidRDefault="00596814" w:rsidP="00596814">
      <w:pPr>
        <w:pStyle w:val="ListParagraph"/>
        <w:numPr>
          <w:ilvl w:val="0"/>
          <w:numId w:val="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Najveće zadovoljstvo grejanjem, navodeći da je odličnog kvaliteta, su domaćinstva koja koriste etažni sistem grejanja (72%). Slično kao kod centralnog grejanja, četvrtina ispitanika smatra da je etažno grejanje dobro, ali da bi moglo biti toplije u zimskom periodu. </w:t>
      </w:r>
    </w:p>
    <w:p w:rsidR="00596814" w:rsidRDefault="00596814" w:rsidP="00596814">
      <w:pPr>
        <w:pStyle w:val="ListParagraph"/>
        <w:numPr>
          <w:ilvl w:val="0"/>
          <w:numId w:val="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Ispitanici Vrbasa procenjuju da su grejanja putem električnih aparata ili nekih drugih uređaja za grejanje takođe dobra, ali da bi moglo biti toplije, dok su ispitanici koji su se izjasnili da je grejanje </w:t>
      </w:r>
      <w:r w:rsidR="00BC732C">
        <w:rPr>
          <w:rFonts w:ascii="Constantia" w:hAnsi="Constantia" w:cs="Times New Roman"/>
          <w:noProof/>
          <w:sz w:val="24"/>
          <w:szCs w:val="24"/>
          <w:lang w:val="sr-Latn-CS"/>
        </w:rPr>
        <w:t>veoma</w:t>
      </w:r>
      <w:r w:rsidRPr="00A81FAD">
        <w:rPr>
          <w:rFonts w:ascii="Constantia" w:hAnsi="Constantia" w:cs="Times New Roman"/>
          <w:noProof/>
          <w:sz w:val="24"/>
          <w:szCs w:val="24"/>
          <w:lang w:val="sr-Latn-CS"/>
        </w:rPr>
        <w:t xml:space="preserve"> loše i da je hladno, upravo korisnici pomenutih oblika grejanja (4% odnosno 6%). </w:t>
      </w:r>
    </w:p>
    <w:p w:rsidR="00C918C5" w:rsidRDefault="00C918C5" w:rsidP="00C918C5">
      <w:pPr>
        <w:pStyle w:val="ListParagraph"/>
        <w:jc w:val="both"/>
        <w:rPr>
          <w:rFonts w:ascii="Constantia" w:hAnsi="Constantia" w:cs="Times New Roman"/>
          <w:noProof/>
          <w:sz w:val="24"/>
          <w:szCs w:val="24"/>
          <w:lang w:val="sr-Latn-CS"/>
        </w:rPr>
      </w:pPr>
    </w:p>
    <w:p w:rsidR="00C918C5" w:rsidRDefault="00C918C5" w:rsidP="00C918C5">
      <w:pPr>
        <w:pStyle w:val="ListParagraph"/>
        <w:jc w:val="both"/>
        <w:rPr>
          <w:rFonts w:ascii="Constantia" w:hAnsi="Constantia" w:cs="Times New Roman"/>
          <w:noProof/>
          <w:sz w:val="24"/>
          <w:szCs w:val="24"/>
          <w:lang w:val="sr-Latn-CS"/>
        </w:rPr>
      </w:pPr>
    </w:p>
    <w:p w:rsidR="00C918C5" w:rsidRPr="00A81FAD" w:rsidRDefault="00C918C5" w:rsidP="00C918C5">
      <w:pPr>
        <w:pStyle w:val="ListParagraph"/>
        <w:jc w:val="both"/>
        <w:rPr>
          <w:rFonts w:ascii="Constantia" w:hAnsi="Constantia" w:cs="Times New Roman"/>
          <w:noProof/>
          <w:sz w:val="24"/>
          <w:szCs w:val="24"/>
          <w:lang w:val="sr-Latn-CS"/>
        </w:rPr>
      </w:pPr>
    </w:p>
    <w:p w:rsidR="00596814" w:rsidRPr="00A81FAD" w:rsidRDefault="00596814" w:rsidP="00596814">
      <w:pPr>
        <w:pStyle w:val="ListParagraph"/>
        <w:numPr>
          <w:ilvl w:val="0"/>
          <w:numId w:val="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Generalno gledano, domaćinstva koja koriste individualne aparate za grejanje su najmanje zadovoljni, s obzirom </w:t>
      </w:r>
      <w:r w:rsidR="00BC732C">
        <w:rPr>
          <w:rFonts w:ascii="Constantia" w:hAnsi="Constantia" w:cs="Times New Roman"/>
          <w:noProof/>
          <w:sz w:val="24"/>
          <w:szCs w:val="24"/>
          <w:lang w:val="sr-Latn-CS"/>
        </w:rPr>
        <w:t xml:space="preserve">na to </w:t>
      </w:r>
      <w:r w:rsidRPr="00A81FAD">
        <w:rPr>
          <w:rFonts w:ascii="Constantia" w:hAnsi="Constantia" w:cs="Times New Roman"/>
          <w:noProof/>
          <w:sz w:val="24"/>
          <w:szCs w:val="24"/>
          <w:lang w:val="sr-Latn-CS"/>
        </w:rPr>
        <w:t>da se kod njih beleži najmanji procenat ispitanika koji su rekli da je grejanje odlično, a s druge strane, oni su jedini ocenili da je njihov način grejanja loš i da je u zimskom periodu hladno.</w:t>
      </w:r>
    </w:p>
    <w:p w:rsidR="00596814" w:rsidRPr="00C918C5" w:rsidRDefault="00596814" w:rsidP="00C918C5">
      <w:pPr>
        <w:pStyle w:val="ListParagraph"/>
        <w:numPr>
          <w:ilvl w:val="0"/>
          <w:numId w:val="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Prosečna temperatura koju dostiže jedno domaćinstvo u Vrbasu je 15 stepeni u grejnoj sezoni, međutim</w:t>
      </w:r>
      <w:r w:rsidR="00BC732C">
        <w:rPr>
          <w:rFonts w:ascii="Constantia" w:hAnsi="Constantia" w:cs="Times New Roman"/>
          <w:noProof/>
          <w:sz w:val="24"/>
          <w:szCs w:val="24"/>
          <w:lang w:val="sr-Latn-CS"/>
        </w:rPr>
        <w:t>,</w:t>
      </w:r>
      <w:r w:rsidRPr="00A81FAD">
        <w:rPr>
          <w:rFonts w:ascii="Constantia" w:hAnsi="Constantia" w:cs="Times New Roman"/>
          <w:noProof/>
          <w:sz w:val="24"/>
          <w:szCs w:val="24"/>
          <w:lang w:val="sr-Latn-CS"/>
        </w:rPr>
        <w:t xml:space="preserve"> gledajući pojedinačno, temperature oko 25 stepeni se</w:t>
      </w:r>
      <w:r w:rsidR="00BC732C">
        <w:rPr>
          <w:rFonts w:ascii="Constantia" w:hAnsi="Constantia" w:cs="Times New Roman"/>
          <w:noProof/>
          <w:sz w:val="24"/>
          <w:szCs w:val="24"/>
          <w:lang w:val="sr-Latn-CS"/>
        </w:rPr>
        <w:t>,</w:t>
      </w:r>
      <w:r w:rsidRPr="00A81FAD">
        <w:rPr>
          <w:rFonts w:ascii="Constantia" w:hAnsi="Constantia" w:cs="Times New Roman"/>
          <w:noProof/>
          <w:sz w:val="24"/>
          <w:szCs w:val="24"/>
          <w:lang w:val="sr-Latn-CS"/>
        </w:rPr>
        <w:t xml:space="preserve"> uglavnom</w:t>
      </w:r>
      <w:r w:rsidR="00BC732C">
        <w:rPr>
          <w:rFonts w:ascii="Constantia" w:hAnsi="Constantia" w:cs="Times New Roman"/>
          <w:noProof/>
          <w:sz w:val="24"/>
          <w:szCs w:val="24"/>
          <w:lang w:val="sr-Latn-CS"/>
        </w:rPr>
        <w:t>,</w:t>
      </w:r>
      <w:r w:rsidRPr="00A81FAD">
        <w:rPr>
          <w:rFonts w:ascii="Constantia" w:hAnsi="Constantia" w:cs="Times New Roman"/>
          <w:noProof/>
          <w:sz w:val="24"/>
          <w:szCs w:val="24"/>
          <w:lang w:val="sr-Latn-CS"/>
        </w:rPr>
        <w:t xml:space="preserve"> kreću u domaćinstvima koja imaju etažni ili daljinski sistem grejanja. Centralno i etažno grejanje za domaćinstva u Vrbasu predstavljaju dobar oblik grejanja, ali i zagušljiv. </w:t>
      </w: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3. </w:t>
      </w:r>
      <w:r w:rsidRPr="00A81FAD">
        <w:rPr>
          <w:rFonts w:ascii="Constantia" w:hAnsi="Constantia" w:cs="Times New Roman"/>
          <w:b/>
          <w:noProof/>
          <w:sz w:val="24"/>
          <w:szCs w:val="24"/>
          <w:lang w:val="sr-Latn-CS"/>
        </w:rPr>
        <w:t>Grejanje prostorija u domaćinstvu</w:t>
      </w:r>
      <w:r w:rsidRPr="00A81FAD">
        <w:rPr>
          <w:rFonts w:ascii="Constantia" w:hAnsi="Constantia" w:cs="Times New Roman"/>
          <w:noProof/>
          <w:sz w:val="24"/>
          <w:szCs w:val="24"/>
          <w:lang w:val="sr-Latn-CS"/>
        </w:rPr>
        <w:t xml:space="preserve"> (%)</w:t>
      </w:r>
    </w:p>
    <w:p w:rsidR="00596814" w:rsidRPr="00A81FAD" w:rsidRDefault="00596814" w:rsidP="00BC732C">
      <w:pPr>
        <w:ind w:left="360"/>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6452559" cy="30451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7C5" w:rsidRDefault="00C467C5" w:rsidP="00A82DAC">
      <w:pPr>
        <w:pStyle w:val="ListParagraph"/>
        <w:jc w:val="both"/>
        <w:rPr>
          <w:rFonts w:ascii="Constantia" w:hAnsi="Constantia" w:cs="Times New Roman"/>
          <w:noProof/>
          <w:sz w:val="24"/>
          <w:szCs w:val="24"/>
          <w:lang w:val="sr-Latn-CS"/>
        </w:rPr>
      </w:pPr>
    </w:p>
    <w:p w:rsidR="00C467C5" w:rsidRDefault="00C467C5" w:rsidP="00A82DAC">
      <w:pPr>
        <w:pStyle w:val="ListParagraph"/>
        <w:jc w:val="both"/>
        <w:rPr>
          <w:rFonts w:ascii="Constantia" w:hAnsi="Constantia" w:cs="Times New Roman"/>
          <w:noProof/>
          <w:sz w:val="24"/>
          <w:szCs w:val="24"/>
          <w:lang w:val="sr-Latn-CS"/>
        </w:rPr>
      </w:pPr>
    </w:p>
    <w:p w:rsidR="00F73083" w:rsidRDefault="00F73083" w:rsidP="00596814">
      <w:pPr>
        <w:pStyle w:val="ListParagraph"/>
        <w:numPr>
          <w:ilvl w:val="0"/>
          <w:numId w:val="9"/>
        </w:numPr>
        <w:jc w:val="both"/>
        <w:rPr>
          <w:rFonts w:ascii="Constantia" w:hAnsi="Constantia" w:cs="Times New Roman"/>
          <w:noProof/>
          <w:sz w:val="24"/>
          <w:szCs w:val="24"/>
          <w:lang w:val="sr-Latn-CS"/>
        </w:rPr>
      </w:pPr>
      <w:r>
        <w:rPr>
          <w:rFonts w:ascii="Constantia" w:hAnsi="Constantia" w:cs="Times New Roman"/>
          <w:noProof/>
          <w:sz w:val="24"/>
          <w:szCs w:val="24"/>
          <w:lang w:val="sr-Latn-CS"/>
        </w:rPr>
        <w:t xml:space="preserve">Ispitanici zagrevaju svoje prostorije zavisno od sistema grejanja koje se koristi u domaćinstvima Vrbasa.  </w:t>
      </w:r>
    </w:p>
    <w:p w:rsidR="00596814" w:rsidRPr="00A81FAD" w:rsidRDefault="00596814" w:rsidP="00596814">
      <w:pPr>
        <w:pStyle w:val="ListParagraph"/>
        <w:numPr>
          <w:ilvl w:val="0"/>
          <w:numId w:val="9"/>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Domaćinstva koja koriste centralno ili etažno grejanje su ona koja zagrevaju sve prostorije podjednako. Čak 82% ispitanika je reklo da zagreva sve prostorije, a da je pritom korisnik etažnog sistema. Mali procenat se, kod korisnika ovog oblika zagrevanja, javlja kada je u pitanju zagrevanje samo pojedinih ili jedne prostorije u domaćinstvu. </w:t>
      </w:r>
    </w:p>
    <w:p w:rsidR="00596814" w:rsidRPr="00A81FAD" w:rsidRDefault="00596814" w:rsidP="00596814">
      <w:pPr>
        <w:pStyle w:val="ListParagraph"/>
        <w:numPr>
          <w:ilvl w:val="0"/>
          <w:numId w:val="9"/>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Kada su u pitanju oblici grejanja koji podrazumevaju individualno grejno telo, ispitanici Vrbasa uglavnom zagrevaju prostorije u kojima najviše borave. Njih 63% koji koriste uređaje za grejanje, zagreva samo prostorije u kojima borave što je primetno više od proseka. Kod korisnika ovog tipa grejanja, beleži se i najviši procenat onih koji zagrevaju samo jednu prostoriju (15%).</w:t>
      </w:r>
    </w:p>
    <w:p w:rsidR="00456F8D" w:rsidRDefault="00596814" w:rsidP="00596814">
      <w:pPr>
        <w:pStyle w:val="ListParagraph"/>
        <w:numPr>
          <w:ilvl w:val="0"/>
          <w:numId w:val="9"/>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Niko od ispitanika iz Vrbasa nije rekao da ne greje prostor u kome živi. </w:t>
      </w:r>
    </w:p>
    <w:p w:rsidR="00BE0877" w:rsidRPr="00BE0877" w:rsidRDefault="00BE0877" w:rsidP="00814375">
      <w:pPr>
        <w:pStyle w:val="ListParagraph"/>
        <w:jc w:val="both"/>
        <w:rPr>
          <w:rFonts w:ascii="Constantia" w:hAnsi="Constantia" w:cs="Times New Roman"/>
          <w:noProof/>
          <w:sz w:val="24"/>
          <w:szCs w:val="24"/>
          <w:lang w:val="sr-Latn-CS"/>
        </w:rPr>
      </w:pP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Grafikon 4.</w:t>
      </w:r>
      <w:r w:rsidRPr="00A81FAD">
        <w:rPr>
          <w:rFonts w:ascii="Constantia" w:hAnsi="Constantia" w:cs="Times New Roman"/>
          <w:b/>
          <w:noProof/>
          <w:sz w:val="24"/>
          <w:szCs w:val="24"/>
          <w:lang w:val="sr-Latn-CS"/>
        </w:rPr>
        <w:t xml:space="preserve"> Površina domaćinstva koja se greje</w:t>
      </w:r>
      <w:r w:rsidRPr="00A81FAD">
        <w:rPr>
          <w:rFonts w:ascii="Constantia" w:hAnsi="Constantia" w:cs="Times New Roman"/>
          <w:noProof/>
          <w:sz w:val="24"/>
          <w:szCs w:val="24"/>
          <w:lang w:val="sr-Latn-CS"/>
        </w:rPr>
        <w:t xml:space="preserve"> (%)   </w:t>
      </w:r>
    </w:p>
    <w:p w:rsidR="00596814" w:rsidRDefault="00596814" w:rsidP="00456F8D">
      <w:pPr>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6133381" cy="2372264"/>
            <wp:effectExtent l="0" t="0" r="0" b="0"/>
            <wp:docPr id="1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67C5" w:rsidRPr="00A81FAD" w:rsidRDefault="00C467C5" w:rsidP="00456F8D">
      <w:pPr>
        <w:jc w:val="center"/>
        <w:rPr>
          <w:rFonts w:ascii="Constantia" w:hAnsi="Constantia" w:cs="Times New Roman"/>
          <w:noProof/>
          <w:sz w:val="24"/>
          <w:szCs w:val="24"/>
          <w:lang w:val="sr-Latn-CS"/>
        </w:rPr>
      </w:pPr>
    </w:p>
    <w:p w:rsidR="00596814" w:rsidRPr="00A81FAD" w:rsidRDefault="00456F8D" w:rsidP="00596814">
      <w:pPr>
        <w:pStyle w:val="ListParagraph"/>
        <w:numPr>
          <w:ilvl w:val="0"/>
          <w:numId w:val="10"/>
        </w:numPr>
        <w:jc w:val="both"/>
        <w:rPr>
          <w:rFonts w:ascii="Constantia" w:hAnsi="Constantia" w:cs="Times New Roman"/>
          <w:noProof/>
          <w:sz w:val="24"/>
          <w:szCs w:val="24"/>
          <w:lang w:val="sr-Latn-CS"/>
        </w:rPr>
      </w:pPr>
      <w:r>
        <w:rPr>
          <w:rFonts w:ascii="Constantia" w:hAnsi="Constantia" w:cs="Times New Roman"/>
          <w:noProof/>
          <w:sz w:val="24"/>
          <w:szCs w:val="24"/>
          <w:lang w:val="sr-Latn-CS"/>
        </w:rPr>
        <w:t>Kad uporedimo podatke o</w:t>
      </w:r>
      <w:r w:rsidR="00596814" w:rsidRPr="00A81FAD">
        <w:rPr>
          <w:rFonts w:ascii="Constantia" w:hAnsi="Constantia" w:cs="Times New Roman"/>
          <w:noProof/>
          <w:sz w:val="24"/>
          <w:szCs w:val="24"/>
          <w:lang w:val="sr-Latn-CS"/>
        </w:rPr>
        <w:t xml:space="preserve"> tome kolika je površina stambenog prostora domaćinstva i površina koju oni greju, </w:t>
      </w:r>
      <w:r w:rsidR="00596814" w:rsidRPr="00A81FAD">
        <w:rPr>
          <w:rFonts w:ascii="Constantia" w:hAnsi="Constantia"/>
          <w:noProof/>
          <w:sz w:val="24"/>
          <w:szCs w:val="24"/>
          <w:lang w:val="sr-Latn-CS"/>
        </w:rPr>
        <w:t>dobijamo niz podataka o procentualnom grejanju stambenog prostora. Ove podatke grupišemo u četiri kategorije</w:t>
      </w:r>
      <w:r>
        <w:rPr>
          <w:rFonts w:ascii="Constantia" w:hAnsi="Constantia"/>
          <w:noProof/>
          <w:sz w:val="24"/>
          <w:szCs w:val="24"/>
          <w:lang w:val="sr-Latn-CS"/>
        </w:rPr>
        <w:t>, u cilju preglednosti podataka:</w:t>
      </w:r>
      <w:r w:rsidR="00596814" w:rsidRPr="00A81FAD">
        <w:rPr>
          <w:rFonts w:ascii="Constantia" w:hAnsi="Constantia"/>
          <w:noProof/>
          <w:sz w:val="24"/>
          <w:szCs w:val="24"/>
          <w:lang w:val="sr-Latn-CS"/>
        </w:rPr>
        <w:t xml:space="preserve"> do trećine stambenog prostora koji se greje,</w:t>
      </w:r>
      <w:r>
        <w:rPr>
          <w:rFonts w:ascii="Constantia" w:hAnsi="Constantia"/>
          <w:noProof/>
          <w:sz w:val="24"/>
          <w:szCs w:val="24"/>
          <w:lang w:val="sr-Latn-CS"/>
        </w:rPr>
        <w:t xml:space="preserve"> od trećine do dve trećine, </w:t>
      </w:r>
      <w:r w:rsidR="00596814" w:rsidRPr="00A81FAD">
        <w:rPr>
          <w:rFonts w:ascii="Constantia" w:hAnsi="Constantia"/>
          <w:noProof/>
          <w:sz w:val="24"/>
          <w:szCs w:val="24"/>
          <w:lang w:val="sr-Latn-CS"/>
        </w:rPr>
        <w:t>o</w:t>
      </w:r>
      <w:r>
        <w:rPr>
          <w:rFonts w:ascii="Constantia" w:hAnsi="Constantia"/>
          <w:noProof/>
          <w:sz w:val="24"/>
          <w:szCs w:val="24"/>
          <w:lang w:val="sr-Latn-CS"/>
        </w:rPr>
        <w:t>d</w:t>
      </w:r>
      <w:r w:rsidR="00596814" w:rsidRPr="00A81FAD">
        <w:rPr>
          <w:rFonts w:ascii="Constantia" w:hAnsi="Constantia"/>
          <w:noProof/>
          <w:sz w:val="24"/>
          <w:szCs w:val="24"/>
          <w:lang w:val="sr-Latn-CS"/>
        </w:rPr>
        <w:t xml:space="preserve"> dve trećine do 90 i  preko 90, odnosno celo domaćinstvo.</w:t>
      </w:r>
    </w:p>
    <w:p w:rsidR="00456F8D" w:rsidRPr="00C467C5" w:rsidRDefault="00596814" w:rsidP="00596814">
      <w:pPr>
        <w:pStyle w:val="ListParagraph"/>
        <w:numPr>
          <w:ilvl w:val="0"/>
          <w:numId w:val="10"/>
        </w:numPr>
        <w:jc w:val="both"/>
        <w:rPr>
          <w:rFonts w:ascii="Constantia" w:hAnsi="Constantia"/>
          <w:noProof/>
          <w:sz w:val="24"/>
          <w:szCs w:val="24"/>
          <w:lang w:val="sr-Latn-CS"/>
        </w:rPr>
      </w:pPr>
      <w:r w:rsidRPr="00A81FAD">
        <w:rPr>
          <w:rFonts w:ascii="Constantia" w:hAnsi="Constantia"/>
          <w:noProof/>
          <w:sz w:val="24"/>
          <w:szCs w:val="24"/>
          <w:lang w:val="sr-Latn-CS"/>
        </w:rPr>
        <w:t xml:space="preserve">Kada ove podatke </w:t>
      </w:r>
      <w:r w:rsidR="00456F8D">
        <w:rPr>
          <w:rFonts w:ascii="Constantia" w:hAnsi="Constantia"/>
          <w:noProof/>
          <w:sz w:val="24"/>
          <w:szCs w:val="24"/>
          <w:lang w:val="sr-Latn-CS"/>
        </w:rPr>
        <w:t>„</w:t>
      </w:r>
      <w:r w:rsidRPr="00A81FAD">
        <w:rPr>
          <w:rFonts w:ascii="Constantia" w:hAnsi="Constantia"/>
          <w:noProof/>
          <w:sz w:val="24"/>
          <w:szCs w:val="24"/>
          <w:lang w:val="sr-Latn-CS"/>
        </w:rPr>
        <w:t>ukrstimo</w:t>
      </w:r>
      <w:r w:rsidR="00456F8D">
        <w:rPr>
          <w:rFonts w:ascii="Constantia" w:hAnsi="Constantia"/>
          <w:noProof/>
          <w:sz w:val="24"/>
          <w:szCs w:val="24"/>
          <w:lang w:val="sr-Latn-CS"/>
        </w:rPr>
        <w:t>“</w:t>
      </w:r>
      <w:r w:rsidRPr="00A81FAD">
        <w:rPr>
          <w:rFonts w:ascii="Constantia" w:hAnsi="Constantia"/>
          <w:noProof/>
          <w:sz w:val="24"/>
          <w:szCs w:val="24"/>
          <w:lang w:val="sr-Latn-CS"/>
        </w:rPr>
        <w:t xml:space="preserve"> sa tipom grejanja, dobijamo slične nalaze kao i u prethodnom grafikonu. Oni koji su na daljinskom sistemu grejanja ili etažnom sistemu, greju uglavnom celo domaćinstvo, d</w:t>
      </w:r>
      <w:r w:rsidR="005205E3">
        <w:rPr>
          <w:rFonts w:ascii="Constantia" w:hAnsi="Constantia"/>
          <w:noProof/>
          <w:sz w:val="24"/>
          <w:szCs w:val="24"/>
          <w:lang w:val="sr-Latn-CS"/>
        </w:rPr>
        <w:t>ok se ostali uglavnom odlučuju z</w:t>
      </w:r>
      <w:r w:rsidRPr="00A81FAD">
        <w:rPr>
          <w:rFonts w:ascii="Constantia" w:hAnsi="Constantia"/>
          <w:noProof/>
          <w:sz w:val="24"/>
          <w:szCs w:val="24"/>
          <w:lang w:val="sr-Latn-CS"/>
        </w:rPr>
        <w:t xml:space="preserve">a grejanje do dve trećine stana. </w:t>
      </w:r>
    </w:p>
    <w:p w:rsidR="00596814" w:rsidRPr="00A81FAD" w:rsidRDefault="00596814" w:rsidP="00596814">
      <w:pPr>
        <w:jc w:val="both"/>
        <w:rPr>
          <w:rFonts w:ascii="Constantia" w:hAnsi="Constantia"/>
          <w:noProof/>
          <w:sz w:val="24"/>
          <w:szCs w:val="24"/>
          <w:lang w:val="sr-Latn-CS"/>
        </w:rPr>
      </w:pPr>
      <w:r w:rsidRPr="00A81FAD">
        <w:rPr>
          <w:rFonts w:ascii="Constantia" w:hAnsi="Constantia"/>
          <w:noProof/>
          <w:sz w:val="24"/>
          <w:szCs w:val="24"/>
          <w:lang w:val="sr-Latn-CS"/>
        </w:rPr>
        <w:t xml:space="preserve">Tabela 2. </w:t>
      </w:r>
      <w:r w:rsidRPr="00A81FAD">
        <w:rPr>
          <w:rFonts w:ascii="Constantia" w:hAnsi="Constantia"/>
          <w:b/>
          <w:noProof/>
          <w:sz w:val="24"/>
          <w:szCs w:val="24"/>
          <w:lang w:val="sr-Latn-CS"/>
        </w:rPr>
        <w:t>Kupovna moć i tip grejanja</w:t>
      </w:r>
      <w:r w:rsidRPr="00A81FAD">
        <w:rPr>
          <w:rFonts w:ascii="Constantia" w:hAnsi="Constantia"/>
          <w:noProof/>
          <w:sz w:val="24"/>
          <w:szCs w:val="24"/>
          <w:lang w:val="sr-Latn-CS"/>
        </w:rPr>
        <w:t xml:space="preserve"> (%)</w:t>
      </w:r>
    </w:p>
    <w:tbl>
      <w:tblPr>
        <w:tblW w:w="9491" w:type="dxa"/>
        <w:jc w:val="center"/>
        <w:tblInd w:w="103" w:type="dxa"/>
        <w:tblLook w:val="04A0"/>
      </w:tblPr>
      <w:tblGrid>
        <w:gridCol w:w="2096"/>
        <w:gridCol w:w="1245"/>
        <w:gridCol w:w="1443"/>
        <w:gridCol w:w="1939"/>
        <w:gridCol w:w="1711"/>
        <w:gridCol w:w="1057"/>
      </w:tblGrid>
      <w:tr w:rsidR="00596814" w:rsidRPr="00A81FAD" w:rsidTr="00BE0877">
        <w:trPr>
          <w:trHeight w:val="2083"/>
          <w:jc w:val="center"/>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Nemamo dovoljno novca za hranu</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Imamo dovoljno novca za hranu, nema za kupovinu odeće i obuće</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Imamo dovoljno za hranu, odeću i obuću, ali nema za skuplje stvari – na primer, za frižider, TV</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Možemo da priuštimo i kupovinu nešto skupljih stvari, ali ne i tako skupih kao što su npr. kola</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Možemo da kupimo što god želimo</w:t>
            </w:r>
          </w:p>
        </w:tc>
      </w:tr>
      <w:tr w:rsidR="00596814" w:rsidRPr="00A81FAD" w:rsidTr="00BE0877">
        <w:trPr>
          <w:trHeight w:val="399"/>
          <w:jc w:val="center"/>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Toplana</w:t>
            </w:r>
          </w:p>
        </w:tc>
        <w:tc>
          <w:tcPr>
            <w:tcW w:w="124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p>
        </w:tc>
        <w:tc>
          <w:tcPr>
            <w:tcW w:w="1443"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14</w:t>
            </w:r>
          </w:p>
        </w:tc>
        <w:tc>
          <w:tcPr>
            <w:tcW w:w="193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43</w:t>
            </w:r>
          </w:p>
        </w:tc>
        <w:tc>
          <w:tcPr>
            <w:tcW w:w="1711"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36</w:t>
            </w:r>
          </w:p>
        </w:tc>
        <w:tc>
          <w:tcPr>
            <w:tcW w:w="105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7</w:t>
            </w:r>
          </w:p>
        </w:tc>
      </w:tr>
      <w:tr w:rsidR="00596814" w:rsidRPr="00A81FAD" w:rsidTr="00BE0877">
        <w:trPr>
          <w:trHeight w:val="399"/>
          <w:jc w:val="center"/>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 xml:space="preserve">Etažno grejanje </w:t>
            </w:r>
          </w:p>
        </w:tc>
        <w:tc>
          <w:tcPr>
            <w:tcW w:w="124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p>
        </w:tc>
        <w:tc>
          <w:tcPr>
            <w:tcW w:w="1443"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18</w:t>
            </w:r>
          </w:p>
        </w:tc>
        <w:tc>
          <w:tcPr>
            <w:tcW w:w="193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51</w:t>
            </w:r>
          </w:p>
        </w:tc>
        <w:tc>
          <w:tcPr>
            <w:tcW w:w="1711"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31</w:t>
            </w:r>
          </w:p>
        </w:tc>
        <w:tc>
          <w:tcPr>
            <w:tcW w:w="105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p>
        </w:tc>
      </w:tr>
      <w:tr w:rsidR="00596814" w:rsidRPr="00A81FAD" w:rsidTr="00BE0877">
        <w:trPr>
          <w:trHeight w:val="399"/>
          <w:jc w:val="center"/>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 xml:space="preserve">Električni aparati </w:t>
            </w:r>
          </w:p>
        </w:tc>
        <w:tc>
          <w:tcPr>
            <w:tcW w:w="124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p>
        </w:tc>
        <w:tc>
          <w:tcPr>
            <w:tcW w:w="1443"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18</w:t>
            </w:r>
          </w:p>
        </w:tc>
        <w:tc>
          <w:tcPr>
            <w:tcW w:w="193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71</w:t>
            </w:r>
          </w:p>
        </w:tc>
        <w:tc>
          <w:tcPr>
            <w:tcW w:w="1711"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7</w:t>
            </w:r>
          </w:p>
        </w:tc>
        <w:tc>
          <w:tcPr>
            <w:tcW w:w="105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4</w:t>
            </w:r>
          </w:p>
        </w:tc>
      </w:tr>
      <w:tr w:rsidR="00596814" w:rsidRPr="00A81FAD" w:rsidTr="00BE0877">
        <w:trPr>
          <w:trHeight w:val="399"/>
          <w:jc w:val="center"/>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Uređaji za grejanje</w:t>
            </w:r>
          </w:p>
        </w:tc>
        <w:tc>
          <w:tcPr>
            <w:tcW w:w="124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11</w:t>
            </w:r>
          </w:p>
        </w:tc>
        <w:tc>
          <w:tcPr>
            <w:tcW w:w="1443"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35</w:t>
            </w:r>
          </w:p>
        </w:tc>
        <w:tc>
          <w:tcPr>
            <w:tcW w:w="193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44</w:t>
            </w:r>
          </w:p>
        </w:tc>
        <w:tc>
          <w:tcPr>
            <w:tcW w:w="1711"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9</w:t>
            </w:r>
          </w:p>
        </w:tc>
        <w:tc>
          <w:tcPr>
            <w:tcW w:w="105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1</w:t>
            </w:r>
          </w:p>
        </w:tc>
      </w:tr>
      <w:tr w:rsidR="00596814" w:rsidRPr="00A81FAD" w:rsidTr="00BE0877">
        <w:trPr>
          <w:trHeight w:val="399"/>
          <w:jc w:val="center"/>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Prosek</w:t>
            </w:r>
          </w:p>
        </w:tc>
        <w:tc>
          <w:tcPr>
            <w:tcW w:w="124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7</w:t>
            </w:r>
          </w:p>
        </w:tc>
        <w:tc>
          <w:tcPr>
            <w:tcW w:w="1443"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29</w:t>
            </w:r>
          </w:p>
        </w:tc>
        <w:tc>
          <w:tcPr>
            <w:tcW w:w="193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47</w:t>
            </w:r>
          </w:p>
        </w:tc>
        <w:tc>
          <w:tcPr>
            <w:tcW w:w="1711"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15</w:t>
            </w:r>
          </w:p>
        </w:tc>
        <w:tc>
          <w:tcPr>
            <w:tcW w:w="1057"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jc w:val="center"/>
              <w:rPr>
                <w:rFonts w:ascii="Constantia" w:eastAsia="Times New Roman" w:hAnsi="Constantia" w:cs="Times New Roman"/>
                <w:noProof/>
                <w:color w:val="000000"/>
                <w:lang w:val="sr-Latn-CS"/>
              </w:rPr>
            </w:pPr>
            <w:r w:rsidRPr="00A81FAD">
              <w:rPr>
                <w:rFonts w:ascii="Constantia" w:eastAsia="Times New Roman" w:hAnsi="Constantia" w:cs="Times New Roman"/>
                <w:noProof/>
                <w:color w:val="000000"/>
                <w:lang w:val="sr-Latn-CS"/>
              </w:rPr>
              <w:t>2</w:t>
            </w:r>
          </w:p>
        </w:tc>
      </w:tr>
    </w:tbl>
    <w:p w:rsidR="00596814" w:rsidRDefault="00596814" w:rsidP="00596814">
      <w:pPr>
        <w:jc w:val="both"/>
        <w:rPr>
          <w:rFonts w:ascii="Constantia" w:hAnsi="Constantia"/>
          <w:noProof/>
          <w:sz w:val="24"/>
          <w:szCs w:val="24"/>
          <w:lang w:val="sr-Latn-CS"/>
        </w:rPr>
      </w:pPr>
    </w:p>
    <w:p w:rsidR="00C467C5" w:rsidRDefault="00C467C5" w:rsidP="00596814">
      <w:pPr>
        <w:jc w:val="both"/>
        <w:rPr>
          <w:rFonts w:ascii="Constantia" w:hAnsi="Constantia"/>
          <w:noProof/>
          <w:sz w:val="24"/>
          <w:szCs w:val="24"/>
          <w:lang w:val="sr-Latn-CS"/>
        </w:rPr>
      </w:pPr>
    </w:p>
    <w:p w:rsidR="00C467C5" w:rsidRPr="00A81FAD" w:rsidRDefault="00C467C5" w:rsidP="00596814">
      <w:pPr>
        <w:jc w:val="both"/>
        <w:rPr>
          <w:rFonts w:ascii="Constantia" w:hAnsi="Constantia"/>
          <w:noProof/>
          <w:sz w:val="24"/>
          <w:szCs w:val="24"/>
          <w:lang w:val="sr-Latn-CS"/>
        </w:rPr>
      </w:pPr>
    </w:p>
    <w:p w:rsidR="00596814" w:rsidRPr="00A81FAD" w:rsidRDefault="00596814" w:rsidP="00596814">
      <w:pPr>
        <w:pStyle w:val="ListParagraph"/>
        <w:numPr>
          <w:ilvl w:val="0"/>
          <w:numId w:val="11"/>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Prilikom ispitivanja koji oblik grejanja je zastupljen kod građana Vrbasa, možemo primetiti i blisku povezanost izbora grejanja sa materijalnim stanjem domaćinstava. </w:t>
      </w:r>
    </w:p>
    <w:p w:rsidR="00596814" w:rsidRPr="00A81FAD" w:rsidRDefault="00596814" w:rsidP="00596814">
      <w:pPr>
        <w:pStyle w:val="ListParagraph"/>
        <w:numPr>
          <w:ilvl w:val="0"/>
          <w:numId w:val="11"/>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Ispitanici koji su veoma lošeg materijalnog statusa </w:t>
      </w:r>
      <w:r w:rsidR="003A7DD7">
        <w:rPr>
          <w:rFonts w:ascii="Constantia" w:hAnsi="Constantia" w:cs="Times New Roman"/>
          <w:noProof/>
          <w:sz w:val="24"/>
          <w:szCs w:val="24"/>
          <w:lang w:val="sr-Latn-CS"/>
        </w:rPr>
        <w:t>(</w:t>
      </w:r>
      <w:r w:rsidRPr="00A81FAD">
        <w:rPr>
          <w:rFonts w:ascii="Constantia" w:hAnsi="Constantia" w:cs="Times New Roman"/>
          <w:noProof/>
          <w:sz w:val="24"/>
          <w:szCs w:val="24"/>
          <w:lang w:val="sr-Latn-CS"/>
        </w:rPr>
        <w:t>što podrazumeva da nemaju dovoljno novca za hranu</w:t>
      </w:r>
      <w:r w:rsidR="003A7DD7">
        <w:rPr>
          <w:rFonts w:ascii="Constantia" w:hAnsi="Constantia" w:cs="Times New Roman"/>
          <w:noProof/>
          <w:sz w:val="24"/>
          <w:szCs w:val="24"/>
          <w:lang w:val="sr-Latn-CS"/>
        </w:rPr>
        <w:t>)</w:t>
      </w:r>
      <w:r w:rsidRPr="00A81FAD">
        <w:rPr>
          <w:rFonts w:ascii="Constantia" w:hAnsi="Constantia" w:cs="Times New Roman"/>
          <w:noProof/>
          <w:sz w:val="24"/>
          <w:szCs w:val="24"/>
          <w:lang w:val="sr-Latn-CS"/>
        </w:rPr>
        <w:t xml:space="preserve">, koriste uređaje za grejanje kao što su drva ili ugalj, što je i logično s obzirom </w:t>
      </w:r>
      <w:r w:rsidR="003A7DD7">
        <w:rPr>
          <w:rFonts w:ascii="Constantia" w:hAnsi="Constantia" w:cs="Times New Roman"/>
          <w:noProof/>
          <w:sz w:val="24"/>
          <w:szCs w:val="24"/>
          <w:lang w:val="sr-Latn-CS"/>
        </w:rPr>
        <w:t xml:space="preserve">na </w:t>
      </w:r>
      <w:r w:rsidRPr="00A81FAD">
        <w:rPr>
          <w:rFonts w:ascii="Constantia" w:hAnsi="Constantia" w:cs="Times New Roman"/>
          <w:noProof/>
          <w:sz w:val="24"/>
          <w:szCs w:val="24"/>
          <w:lang w:val="sr-Latn-CS"/>
        </w:rPr>
        <w:t xml:space="preserve">da možemo pretpostaviti da je snabdevanje drvima za njih najpristupačnija opcija. </w:t>
      </w:r>
    </w:p>
    <w:p w:rsidR="00596814" w:rsidRPr="00C467C5" w:rsidRDefault="00596814" w:rsidP="00596814">
      <w:pPr>
        <w:pStyle w:val="ListParagraph"/>
        <w:numPr>
          <w:ilvl w:val="0"/>
          <w:numId w:val="11"/>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Grupa ispitanika koja smatra da ima dovoljno novca, ali ne i za skuplje stvari, u najvećem procentu koristi električne aparate kao izvor grejanja, dok nešto bogatiji sloj stanovništva se uglavnom odlučuje za etažni ili daljinski sistem grejanja. </w:t>
      </w: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Tabela 3. </w:t>
      </w:r>
      <w:r w:rsidRPr="00A81FAD">
        <w:rPr>
          <w:rFonts w:ascii="Constantia" w:hAnsi="Constantia" w:cs="Times New Roman"/>
          <w:b/>
          <w:noProof/>
          <w:sz w:val="24"/>
          <w:szCs w:val="24"/>
          <w:lang w:val="sr-Latn-CS"/>
        </w:rPr>
        <w:t>Potrošnja po tipu grejanja</w:t>
      </w:r>
      <w:r w:rsidRPr="00A81FAD">
        <w:rPr>
          <w:rFonts w:ascii="Constantia" w:hAnsi="Constantia" w:cs="Times New Roman"/>
          <w:noProof/>
          <w:sz w:val="24"/>
          <w:szCs w:val="24"/>
          <w:lang w:val="sr-Latn-CS"/>
        </w:rPr>
        <w:t xml:space="preserve"> (%)</w:t>
      </w:r>
    </w:p>
    <w:tbl>
      <w:tblPr>
        <w:tblW w:w="9249" w:type="dxa"/>
        <w:tblInd w:w="2289" w:type="dxa"/>
        <w:tblLook w:val="04A0"/>
      </w:tblPr>
      <w:tblGrid>
        <w:gridCol w:w="2407"/>
        <w:gridCol w:w="1674"/>
        <w:gridCol w:w="1820"/>
        <w:gridCol w:w="1674"/>
        <w:gridCol w:w="1674"/>
      </w:tblGrid>
      <w:tr w:rsidR="009B3670" w:rsidRPr="005205E3" w:rsidTr="009B3670">
        <w:trPr>
          <w:trHeight w:val="307"/>
        </w:trPr>
        <w:tc>
          <w:tcPr>
            <w:tcW w:w="2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670" w:rsidRPr="005205E3" w:rsidRDefault="009B3670" w:rsidP="009B3670">
            <w:pPr>
              <w:spacing w:after="0" w:line="240" w:lineRule="auto"/>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 </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Etažno grejanje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Električni aparati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Uređaju za grejanje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Prosek</w:t>
            </w:r>
          </w:p>
        </w:tc>
      </w:tr>
      <w:tr w:rsidR="009B3670" w:rsidRPr="005205E3" w:rsidTr="009B3670">
        <w:trPr>
          <w:trHeight w:val="307"/>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9B3670" w:rsidRPr="005205E3" w:rsidRDefault="009B3670" w:rsidP="009B3670">
            <w:pPr>
              <w:spacing w:after="0" w:line="240" w:lineRule="auto"/>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Do 20000</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7</w:t>
            </w:r>
          </w:p>
        </w:tc>
        <w:tc>
          <w:tcPr>
            <w:tcW w:w="1820"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43</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17</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18</w:t>
            </w:r>
          </w:p>
        </w:tc>
      </w:tr>
      <w:tr w:rsidR="009B3670" w:rsidRPr="005205E3" w:rsidTr="009B3670">
        <w:trPr>
          <w:trHeight w:val="307"/>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9B3670" w:rsidRPr="005205E3" w:rsidRDefault="009B3670" w:rsidP="009B3670">
            <w:pPr>
              <w:spacing w:after="0" w:line="240" w:lineRule="auto"/>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20001-40000</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19</w:t>
            </w:r>
          </w:p>
        </w:tc>
        <w:tc>
          <w:tcPr>
            <w:tcW w:w="1820"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29</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50</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43</w:t>
            </w:r>
          </w:p>
        </w:tc>
      </w:tr>
      <w:tr w:rsidR="009B3670" w:rsidRPr="005205E3" w:rsidTr="009B3670">
        <w:trPr>
          <w:trHeight w:val="307"/>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9B3670" w:rsidRPr="005205E3" w:rsidRDefault="009B3670" w:rsidP="009B3670">
            <w:pPr>
              <w:spacing w:after="0" w:line="240" w:lineRule="auto"/>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40001-60000</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22</w:t>
            </w:r>
          </w:p>
        </w:tc>
        <w:tc>
          <w:tcPr>
            <w:tcW w:w="1820"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21</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22</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22</w:t>
            </w:r>
          </w:p>
        </w:tc>
      </w:tr>
      <w:tr w:rsidR="009B3670" w:rsidRPr="005205E3" w:rsidTr="009B3670">
        <w:trPr>
          <w:trHeight w:val="307"/>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9B3670" w:rsidRPr="005205E3" w:rsidRDefault="009B3670" w:rsidP="009B3670">
            <w:pPr>
              <w:spacing w:after="0" w:line="240" w:lineRule="auto"/>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60001-100000</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44</w:t>
            </w:r>
          </w:p>
        </w:tc>
        <w:tc>
          <w:tcPr>
            <w:tcW w:w="1820"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7</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9</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15</w:t>
            </w:r>
          </w:p>
        </w:tc>
      </w:tr>
      <w:tr w:rsidR="009B3670" w:rsidRPr="005205E3" w:rsidTr="009B3670">
        <w:trPr>
          <w:trHeight w:val="307"/>
        </w:trPr>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9B3670" w:rsidRPr="005205E3" w:rsidRDefault="009B3670" w:rsidP="009B3670">
            <w:pPr>
              <w:spacing w:after="0" w:line="240" w:lineRule="auto"/>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Više od 100000</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7</w:t>
            </w:r>
          </w:p>
        </w:tc>
        <w:tc>
          <w:tcPr>
            <w:tcW w:w="1820"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1</w:t>
            </w:r>
          </w:p>
        </w:tc>
        <w:tc>
          <w:tcPr>
            <w:tcW w:w="1674" w:type="dxa"/>
            <w:tcBorders>
              <w:top w:val="nil"/>
              <w:left w:val="nil"/>
              <w:bottom w:val="single" w:sz="4" w:space="0" w:color="auto"/>
              <w:right w:val="single" w:sz="4" w:space="0" w:color="auto"/>
            </w:tcBorders>
            <w:shd w:val="clear" w:color="auto" w:fill="auto"/>
            <w:noWrap/>
            <w:vAlign w:val="bottom"/>
            <w:hideMark/>
          </w:tcPr>
          <w:p w:rsidR="009B3670" w:rsidRPr="005205E3" w:rsidRDefault="009B3670" w:rsidP="005205E3">
            <w:pPr>
              <w:spacing w:after="0" w:line="240" w:lineRule="auto"/>
              <w:jc w:val="center"/>
              <w:rPr>
                <w:rFonts w:ascii="Constantia" w:eastAsia="Times New Roman" w:hAnsi="Constantia" w:cs="Calibri"/>
                <w:noProof/>
                <w:color w:val="000000"/>
                <w:sz w:val="24"/>
                <w:szCs w:val="24"/>
                <w:lang w:val="sr-Latn-CS"/>
              </w:rPr>
            </w:pPr>
            <w:r w:rsidRPr="005205E3">
              <w:rPr>
                <w:rFonts w:ascii="Constantia" w:eastAsia="Times New Roman" w:hAnsi="Constantia" w:cs="Calibri"/>
                <w:noProof/>
                <w:color w:val="000000"/>
                <w:sz w:val="24"/>
                <w:szCs w:val="24"/>
                <w:lang w:val="sr-Latn-CS"/>
              </w:rPr>
              <w:t>2</w:t>
            </w:r>
          </w:p>
        </w:tc>
      </w:tr>
    </w:tbl>
    <w:p w:rsidR="00596814" w:rsidRPr="00A81FAD" w:rsidRDefault="00596814" w:rsidP="00C467C5">
      <w:pPr>
        <w:contextualSpacing/>
        <w:jc w:val="both"/>
        <w:rPr>
          <w:rFonts w:ascii="Constantia" w:hAnsi="Constantia" w:cs="Times New Roman"/>
          <w:noProof/>
          <w:sz w:val="24"/>
          <w:szCs w:val="24"/>
          <w:lang w:val="sr-Latn-CS"/>
        </w:rPr>
      </w:pPr>
    </w:p>
    <w:p w:rsidR="00C467C5" w:rsidRDefault="00596814" w:rsidP="009B3670">
      <w:pPr>
        <w:pStyle w:val="ListParagraph"/>
        <w:numPr>
          <w:ilvl w:val="0"/>
          <w:numId w:val="12"/>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Interesantan podatak je da za građane Vrbasa, najjeftiniju opciju predstavlja grejanje putem električnih aparata gde njih 43% </w:t>
      </w:r>
      <w:r w:rsidR="009B3670">
        <w:rPr>
          <w:rFonts w:ascii="Constantia" w:hAnsi="Constantia" w:cs="Times New Roman"/>
          <w:noProof/>
          <w:sz w:val="24"/>
          <w:szCs w:val="24"/>
          <w:lang w:val="sr-Latn-CS"/>
        </w:rPr>
        <w:t>u toku grejne sezone potroši</w:t>
      </w:r>
      <w:r w:rsidRPr="00A81FAD">
        <w:rPr>
          <w:rFonts w:ascii="Constantia" w:hAnsi="Constantia" w:cs="Times New Roman"/>
          <w:noProof/>
          <w:sz w:val="24"/>
          <w:szCs w:val="24"/>
          <w:lang w:val="sr-Latn-CS"/>
        </w:rPr>
        <w:t xml:space="preserve"> do 20.000 dinara. Polovina naših ispitanika u Vrbasu je procenilo da </w:t>
      </w:r>
      <w:r w:rsidR="00E53663">
        <w:rPr>
          <w:rFonts w:ascii="Constantia" w:hAnsi="Constantia" w:cs="Times New Roman"/>
          <w:noProof/>
          <w:sz w:val="24"/>
          <w:szCs w:val="24"/>
          <w:lang w:val="sr-Latn-CS"/>
        </w:rPr>
        <w:t>kao korisnici uređaja</w:t>
      </w:r>
      <w:r w:rsidRPr="00A81FAD">
        <w:rPr>
          <w:rFonts w:ascii="Constantia" w:hAnsi="Constantia" w:cs="Times New Roman"/>
          <w:noProof/>
          <w:sz w:val="24"/>
          <w:szCs w:val="24"/>
          <w:lang w:val="sr-Latn-CS"/>
        </w:rPr>
        <w:t xml:space="preserve"> za grejanje kao što su drva ili ugalj, </w:t>
      </w:r>
      <w:r w:rsidR="00E53663">
        <w:rPr>
          <w:rFonts w:ascii="Constantia" w:hAnsi="Constantia" w:cs="Times New Roman"/>
          <w:noProof/>
          <w:sz w:val="24"/>
          <w:szCs w:val="24"/>
          <w:lang w:val="sr-Latn-CS"/>
        </w:rPr>
        <w:t xml:space="preserve">računi u toku grejne sezone </w:t>
      </w:r>
      <w:r w:rsidRPr="00A81FAD">
        <w:rPr>
          <w:rFonts w:ascii="Constantia" w:hAnsi="Constantia" w:cs="Times New Roman"/>
          <w:noProof/>
          <w:sz w:val="24"/>
          <w:szCs w:val="24"/>
          <w:lang w:val="sr-Latn-CS"/>
        </w:rPr>
        <w:t>mogu iznositi i do 40.000 dinara,</w:t>
      </w:r>
    </w:p>
    <w:p w:rsidR="00C467C5" w:rsidRDefault="00C467C5" w:rsidP="00C467C5">
      <w:pPr>
        <w:pStyle w:val="ListParagraph"/>
        <w:jc w:val="both"/>
        <w:rPr>
          <w:rFonts w:ascii="Constantia" w:hAnsi="Constantia" w:cs="Times New Roman"/>
          <w:noProof/>
          <w:sz w:val="24"/>
          <w:szCs w:val="24"/>
          <w:lang w:val="sr-Latn-CS"/>
        </w:rPr>
      </w:pPr>
    </w:p>
    <w:p w:rsidR="00C467C5" w:rsidRDefault="00C467C5" w:rsidP="00C467C5">
      <w:pPr>
        <w:pStyle w:val="ListParagraph"/>
        <w:jc w:val="both"/>
        <w:rPr>
          <w:rFonts w:ascii="Constantia" w:hAnsi="Constantia" w:cs="Times New Roman"/>
          <w:noProof/>
          <w:sz w:val="24"/>
          <w:szCs w:val="24"/>
          <w:lang w:val="sr-Latn-CS"/>
        </w:rPr>
      </w:pPr>
    </w:p>
    <w:p w:rsidR="00C467C5" w:rsidRDefault="00C467C5" w:rsidP="00C467C5">
      <w:pPr>
        <w:pStyle w:val="ListParagraph"/>
        <w:jc w:val="both"/>
        <w:rPr>
          <w:rFonts w:ascii="Constantia" w:hAnsi="Constantia" w:cs="Times New Roman"/>
          <w:noProof/>
          <w:sz w:val="24"/>
          <w:szCs w:val="24"/>
          <w:lang w:val="sr-Latn-CS"/>
        </w:rPr>
      </w:pPr>
    </w:p>
    <w:p w:rsidR="009B3670" w:rsidRPr="00C467C5" w:rsidRDefault="00596814" w:rsidP="00C467C5">
      <w:pPr>
        <w:pStyle w:val="ListParagraph"/>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dok najskuplji oblik grejanja predstavlja sistem etažnog grejanja, gde imamo situaciju da 44% ispitanika plaća i do 100.000 </w:t>
      </w:r>
      <w:r w:rsidR="00E53663">
        <w:rPr>
          <w:rFonts w:ascii="Constantia" w:hAnsi="Constantia" w:cs="Times New Roman"/>
          <w:noProof/>
          <w:sz w:val="24"/>
          <w:szCs w:val="24"/>
          <w:lang w:val="sr-Latn-CS"/>
        </w:rPr>
        <w:t>dinara zimi</w:t>
      </w:r>
      <w:r w:rsidR="009B3670">
        <w:rPr>
          <w:rFonts w:ascii="Constantia" w:hAnsi="Constantia" w:cs="Times New Roman"/>
          <w:noProof/>
          <w:sz w:val="24"/>
          <w:szCs w:val="24"/>
          <w:lang w:val="sr-Latn-CS"/>
        </w:rPr>
        <w:t>,</w:t>
      </w:r>
      <w:r w:rsidRPr="00A81FAD">
        <w:rPr>
          <w:rFonts w:ascii="Constantia" w:hAnsi="Constantia" w:cs="Times New Roman"/>
          <w:noProof/>
          <w:sz w:val="24"/>
          <w:szCs w:val="24"/>
          <w:lang w:val="sr-Latn-CS"/>
        </w:rPr>
        <w:t xml:space="preserve"> koristeći ovaj način grejanja.</w:t>
      </w:r>
      <w:r w:rsidR="00E53663">
        <w:rPr>
          <w:rStyle w:val="FootnoteReference"/>
          <w:rFonts w:ascii="Constantia" w:hAnsi="Constantia" w:cs="Times New Roman"/>
          <w:noProof/>
          <w:sz w:val="24"/>
          <w:szCs w:val="24"/>
          <w:lang w:val="sr-Latn-CS"/>
        </w:rPr>
        <w:footnoteReference w:id="2"/>
      </w:r>
      <w:r w:rsidRPr="00A81FAD">
        <w:rPr>
          <w:rFonts w:ascii="Constantia" w:hAnsi="Constantia" w:cs="Times New Roman"/>
          <w:noProof/>
          <w:sz w:val="24"/>
          <w:szCs w:val="24"/>
          <w:lang w:val="sr-Latn-CS"/>
        </w:rPr>
        <w:t xml:space="preserve">  </w:t>
      </w:r>
    </w:p>
    <w:p w:rsidR="00596814" w:rsidRPr="00A81FAD" w:rsidRDefault="00596814" w:rsidP="00596814">
      <w:pPr>
        <w:jc w:val="both"/>
        <w:rPr>
          <w:rFonts w:ascii="Constantia" w:hAnsi="Constantia"/>
          <w:noProof/>
          <w:sz w:val="24"/>
          <w:szCs w:val="24"/>
          <w:lang w:val="sr-Latn-CS"/>
        </w:rPr>
      </w:pPr>
      <w:r w:rsidRPr="00A81FAD">
        <w:rPr>
          <w:rFonts w:ascii="Constantia" w:hAnsi="Constantia"/>
          <w:noProof/>
          <w:sz w:val="24"/>
          <w:szCs w:val="24"/>
          <w:lang w:val="sr-Latn-CS"/>
        </w:rPr>
        <w:t xml:space="preserve">Tabela 4. </w:t>
      </w:r>
      <w:r w:rsidRPr="00A81FAD">
        <w:rPr>
          <w:rFonts w:ascii="Constantia" w:hAnsi="Constantia"/>
          <w:b/>
          <w:noProof/>
          <w:sz w:val="24"/>
          <w:szCs w:val="24"/>
          <w:lang w:val="sr-Latn-CS"/>
        </w:rPr>
        <w:t>Pozitivno vrednovanje stanja pojedinih termičkih elemenata u domaćinstvu</w:t>
      </w:r>
      <w:r w:rsidRPr="00A81FAD">
        <w:rPr>
          <w:rFonts w:ascii="Constantia" w:hAnsi="Constantia"/>
          <w:noProof/>
          <w:sz w:val="24"/>
          <w:szCs w:val="24"/>
          <w:lang w:val="sr-Latn-CS"/>
        </w:rPr>
        <w:t xml:space="preserve"> (%)</w:t>
      </w:r>
    </w:p>
    <w:tbl>
      <w:tblPr>
        <w:tblW w:w="9650" w:type="dxa"/>
        <w:jc w:val="center"/>
        <w:tblInd w:w="103" w:type="dxa"/>
        <w:tblLook w:val="04A0"/>
      </w:tblPr>
      <w:tblGrid>
        <w:gridCol w:w="2354"/>
        <w:gridCol w:w="1618"/>
        <w:gridCol w:w="2154"/>
        <w:gridCol w:w="1799"/>
        <w:gridCol w:w="1725"/>
      </w:tblGrid>
      <w:tr w:rsidR="00596814" w:rsidRPr="00A81FAD" w:rsidTr="006C2222">
        <w:trPr>
          <w:trHeight w:val="378"/>
          <w:jc w:val="center"/>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Izolacija zidova</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Izolacija tavana i krova</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Stolarija, prozori</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Izolacija podova</w:t>
            </w:r>
          </w:p>
        </w:tc>
      </w:tr>
      <w:tr w:rsidR="00596814" w:rsidRPr="00A81FAD" w:rsidTr="006C2222">
        <w:trPr>
          <w:trHeight w:val="378"/>
          <w:jc w:val="center"/>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Toplana</w:t>
            </w:r>
          </w:p>
        </w:tc>
        <w:tc>
          <w:tcPr>
            <w:tcW w:w="161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60</w:t>
            </w:r>
          </w:p>
        </w:tc>
        <w:tc>
          <w:tcPr>
            <w:tcW w:w="2154"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60</w:t>
            </w:r>
          </w:p>
        </w:tc>
        <w:tc>
          <w:tcPr>
            <w:tcW w:w="179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50</w:t>
            </w:r>
          </w:p>
        </w:tc>
        <w:tc>
          <w:tcPr>
            <w:tcW w:w="172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57</w:t>
            </w:r>
          </w:p>
        </w:tc>
      </w:tr>
      <w:tr w:rsidR="00596814" w:rsidRPr="00A81FAD" w:rsidTr="006C2222">
        <w:trPr>
          <w:trHeight w:val="378"/>
          <w:jc w:val="center"/>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xml:space="preserve">Etažno grejanje </w:t>
            </w:r>
          </w:p>
        </w:tc>
        <w:tc>
          <w:tcPr>
            <w:tcW w:w="161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75</w:t>
            </w:r>
          </w:p>
        </w:tc>
        <w:tc>
          <w:tcPr>
            <w:tcW w:w="2154"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77</w:t>
            </w:r>
          </w:p>
        </w:tc>
        <w:tc>
          <w:tcPr>
            <w:tcW w:w="179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66</w:t>
            </w:r>
          </w:p>
        </w:tc>
        <w:tc>
          <w:tcPr>
            <w:tcW w:w="172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80</w:t>
            </w:r>
          </w:p>
        </w:tc>
      </w:tr>
      <w:tr w:rsidR="00596814" w:rsidRPr="00A81FAD" w:rsidTr="006C2222">
        <w:trPr>
          <w:trHeight w:val="378"/>
          <w:jc w:val="center"/>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xml:space="preserve">Električni aparati </w:t>
            </w:r>
          </w:p>
        </w:tc>
        <w:tc>
          <w:tcPr>
            <w:tcW w:w="161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61</w:t>
            </w:r>
          </w:p>
        </w:tc>
        <w:tc>
          <w:tcPr>
            <w:tcW w:w="2154"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57</w:t>
            </w:r>
          </w:p>
        </w:tc>
        <w:tc>
          <w:tcPr>
            <w:tcW w:w="179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36</w:t>
            </w:r>
          </w:p>
        </w:tc>
        <w:tc>
          <w:tcPr>
            <w:tcW w:w="172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46</w:t>
            </w:r>
          </w:p>
        </w:tc>
      </w:tr>
      <w:tr w:rsidR="00596814" w:rsidRPr="00A81FAD" w:rsidTr="006C2222">
        <w:trPr>
          <w:trHeight w:val="378"/>
          <w:jc w:val="center"/>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 xml:space="preserve">Uređaji za grejanje </w:t>
            </w:r>
          </w:p>
        </w:tc>
        <w:tc>
          <w:tcPr>
            <w:tcW w:w="161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40</w:t>
            </w:r>
          </w:p>
        </w:tc>
        <w:tc>
          <w:tcPr>
            <w:tcW w:w="2154"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39</w:t>
            </w:r>
          </w:p>
        </w:tc>
        <w:tc>
          <w:tcPr>
            <w:tcW w:w="179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31</w:t>
            </w:r>
          </w:p>
        </w:tc>
        <w:tc>
          <w:tcPr>
            <w:tcW w:w="172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38</w:t>
            </w:r>
          </w:p>
        </w:tc>
      </w:tr>
      <w:tr w:rsidR="00596814" w:rsidRPr="00A81FAD" w:rsidTr="006C2222">
        <w:trPr>
          <w:trHeight w:val="378"/>
          <w:jc w:val="center"/>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rsidR="00596814" w:rsidRPr="00A81FAD" w:rsidRDefault="00596814" w:rsidP="00E42FC3">
            <w:pPr>
              <w:spacing w:after="0" w:line="240" w:lineRule="auto"/>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Prosek</w:t>
            </w:r>
          </w:p>
        </w:tc>
        <w:tc>
          <w:tcPr>
            <w:tcW w:w="1618"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49</w:t>
            </w:r>
          </w:p>
        </w:tc>
        <w:tc>
          <w:tcPr>
            <w:tcW w:w="2154"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48</w:t>
            </w:r>
          </w:p>
        </w:tc>
        <w:tc>
          <w:tcPr>
            <w:tcW w:w="1799"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39</w:t>
            </w:r>
          </w:p>
        </w:tc>
        <w:tc>
          <w:tcPr>
            <w:tcW w:w="1725" w:type="dxa"/>
            <w:tcBorders>
              <w:top w:val="nil"/>
              <w:left w:val="nil"/>
              <w:bottom w:val="single" w:sz="4" w:space="0" w:color="auto"/>
              <w:right w:val="single" w:sz="4" w:space="0" w:color="auto"/>
            </w:tcBorders>
            <w:shd w:val="clear" w:color="auto" w:fill="auto"/>
            <w:noWrap/>
            <w:vAlign w:val="bottom"/>
            <w:hideMark/>
          </w:tcPr>
          <w:p w:rsidR="00596814" w:rsidRPr="00A81FAD" w:rsidRDefault="00596814" w:rsidP="005205E3">
            <w:pPr>
              <w:spacing w:after="0" w:line="240" w:lineRule="auto"/>
              <w:jc w:val="center"/>
              <w:rPr>
                <w:rFonts w:ascii="Constantia" w:eastAsia="Times New Roman" w:hAnsi="Constantia" w:cs="Times New Roman"/>
                <w:noProof/>
                <w:color w:val="000000"/>
                <w:sz w:val="24"/>
                <w:szCs w:val="24"/>
                <w:lang w:val="sr-Latn-CS"/>
              </w:rPr>
            </w:pPr>
            <w:r w:rsidRPr="00A81FAD">
              <w:rPr>
                <w:rFonts w:ascii="Constantia" w:eastAsia="Times New Roman" w:hAnsi="Constantia" w:cs="Times New Roman"/>
                <w:noProof/>
                <w:color w:val="000000"/>
                <w:sz w:val="24"/>
                <w:szCs w:val="24"/>
                <w:lang w:val="sr-Latn-CS"/>
              </w:rPr>
              <w:t>47</w:t>
            </w:r>
          </w:p>
        </w:tc>
      </w:tr>
    </w:tbl>
    <w:p w:rsidR="00596814" w:rsidRPr="00A81FAD" w:rsidRDefault="00596814" w:rsidP="00596814">
      <w:pPr>
        <w:jc w:val="both"/>
        <w:rPr>
          <w:rFonts w:ascii="Constantia" w:hAnsi="Constantia"/>
          <w:noProof/>
          <w:sz w:val="24"/>
          <w:szCs w:val="24"/>
          <w:lang w:val="sr-Latn-CS"/>
        </w:rPr>
      </w:pPr>
    </w:p>
    <w:p w:rsidR="00596814" w:rsidRPr="00A81FAD" w:rsidRDefault="00596814" w:rsidP="00596814">
      <w:pPr>
        <w:pStyle w:val="ListParagraph"/>
        <w:numPr>
          <w:ilvl w:val="0"/>
          <w:numId w:val="12"/>
        </w:numPr>
        <w:jc w:val="both"/>
        <w:rPr>
          <w:rFonts w:ascii="Constantia" w:hAnsi="Constantia"/>
          <w:noProof/>
          <w:sz w:val="24"/>
          <w:szCs w:val="24"/>
          <w:lang w:val="sr-Latn-CS"/>
        </w:rPr>
      </w:pPr>
      <w:r w:rsidRPr="00A81FAD">
        <w:rPr>
          <w:rFonts w:ascii="Constantia" w:hAnsi="Constantia"/>
          <w:noProof/>
          <w:sz w:val="24"/>
          <w:szCs w:val="24"/>
          <w:lang w:val="sr-Latn-CS"/>
        </w:rPr>
        <w:t xml:space="preserve">U ovom slučaju, najpre smo izdvojili pozitivne vrednosti vezane za toplotnu izolaciju po različitim segmentima. Iz prikazane tabele, možemo uočiti da ima drastičnih razlika kada je u pitanju određeni sistem grejanja i termoizolacija. </w:t>
      </w:r>
    </w:p>
    <w:p w:rsidR="00596814" w:rsidRPr="00A81FAD" w:rsidRDefault="00596814" w:rsidP="00596814">
      <w:pPr>
        <w:pStyle w:val="ListParagraph"/>
        <w:numPr>
          <w:ilvl w:val="0"/>
          <w:numId w:val="12"/>
        </w:numPr>
        <w:jc w:val="both"/>
        <w:rPr>
          <w:rFonts w:ascii="Constantia" w:hAnsi="Constantia"/>
          <w:noProof/>
          <w:sz w:val="24"/>
          <w:szCs w:val="24"/>
          <w:lang w:val="sr-Latn-CS"/>
        </w:rPr>
      </w:pPr>
      <w:r w:rsidRPr="00A81FAD">
        <w:rPr>
          <w:rFonts w:ascii="Constantia" w:hAnsi="Constantia"/>
          <w:noProof/>
          <w:sz w:val="24"/>
          <w:szCs w:val="24"/>
          <w:lang w:val="sr-Latn-CS"/>
        </w:rPr>
        <w:t xml:space="preserve">Čak 80% pozitivnih stavova se beleži kada je u pitanju izolacija podova prilikom korišćenja etažnog sistema grejanja. Takođe možemo primetiti da, kada je ovaj sistem grejanja u pitanju, visok procenat pozitivnih </w:t>
      </w:r>
      <w:r w:rsidR="006C2222">
        <w:rPr>
          <w:rFonts w:ascii="Constantia" w:hAnsi="Constantia"/>
          <w:noProof/>
          <w:sz w:val="24"/>
          <w:szCs w:val="24"/>
          <w:lang w:val="sr-Latn-CS"/>
        </w:rPr>
        <w:t>odgovora</w:t>
      </w:r>
      <w:r w:rsidRPr="00A81FAD">
        <w:rPr>
          <w:rFonts w:ascii="Constantia" w:hAnsi="Constantia"/>
          <w:noProof/>
          <w:sz w:val="24"/>
          <w:szCs w:val="24"/>
          <w:lang w:val="sr-Latn-CS"/>
        </w:rPr>
        <w:t xml:space="preserve"> se beleži kod izolacije svih segmenata. Možemo zaključiti da se radi o dobrostojećem sloju građana koji imaju mogućnost korišćenja etažnog sistema grejanja i adekvatnog opremanja sopstvenog domaćinstva.   </w:t>
      </w:r>
    </w:p>
    <w:p w:rsidR="00596814" w:rsidRPr="00A81FAD" w:rsidRDefault="00596814" w:rsidP="00596814">
      <w:pPr>
        <w:pStyle w:val="ListParagraph"/>
        <w:numPr>
          <w:ilvl w:val="0"/>
          <w:numId w:val="12"/>
        </w:numPr>
        <w:jc w:val="both"/>
        <w:rPr>
          <w:rFonts w:ascii="Constantia" w:hAnsi="Constantia"/>
          <w:noProof/>
          <w:sz w:val="24"/>
          <w:szCs w:val="24"/>
          <w:lang w:val="sr-Latn-CS"/>
        </w:rPr>
      </w:pPr>
      <w:r w:rsidRPr="00A81FAD">
        <w:rPr>
          <w:rFonts w:ascii="Constantia" w:hAnsi="Constantia"/>
          <w:noProof/>
          <w:sz w:val="24"/>
          <w:szCs w:val="24"/>
          <w:lang w:val="sr-Latn-CS"/>
        </w:rPr>
        <w:t xml:space="preserve">Najveći problem sa termoizolacijom imaju domaćinstva koja koriste različite uređaje za grejanje. </w:t>
      </w:r>
      <w:r w:rsidR="006C2222">
        <w:rPr>
          <w:rFonts w:ascii="Constantia" w:hAnsi="Constantia"/>
          <w:noProof/>
          <w:sz w:val="24"/>
          <w:szCs w:val="24"/>
          <w:lang w:val="sr-Latn-CS"/>
        </w:rPr>
        <w:t>Kada je reč o svim segmentima</w:t>
      </w:r>
      <w:r w:rsidRPr="00A81FAD">
        <w:rPr>
          <w:rFonts w:ascii="Constantia" w:hAnsi="Constantia"/>
          <w:noProof/>
          <w:sz w:val="24"/>
          <w:szCs w:val="24"/>
          <w:lang w:val="sr-Latn-CS"/>
        </w:rPr>
        <w:t xml:space="preserve">, zabeležena pozitivna mišljenja su ispod proseka. </w:t>
      </w:r>
    </w:p>
    <w:p w:rsidR="006C2222" w:rsidRPr="00A81FAD" w:rsidRDefault="006C2222" w:rsidP="00596814">
      <w:pPr>
        <w:jc w:val="both"/>
        <w:rPr>
          <w:rFonts w:ascii="Constantia" w:hAnsi="Constantia"/>
          <w:noProof/>
          <w:sz w:val="24"/>
          <w:szCs w:val="24"/>
          <w:lang w:val="sr-Latn-CS"/>
        </w:rPr>
      </w:pPr>
    </w:p>
    <w:p w:rsidR="00596814" w:rsidRPr="00A81FAD" w:rsidRDefault="00596814" w:rsidP="00596814">
      <w:pPr>
        <w:jc w:val="both"/>
        <w:rPr>
          <w:rFonts w:ascii="Constantia" w:hAnsi="Constantia"/>
          <w:noProof/>
          <w:sz w:val="24"/>
          <w:szCs w:val="24"/>
          <w:lang w:val="sr-Latn-CS"/>
        </w:rPr>
      </w:pPr>
      <w:r w:rsidRPr="00A81FAD">
        <w:rPr>
          <w:rFonts w:ascii="Constantia" w:hAnsi="Constantia"/>
          <w:noProof/>
          <w:sz w:val="24"/>
          <w:szCs w:val="24"/>
          <w:lang w:val="sr-Latn-CS"/>
        </w:rPr>
        <w:t xml:space="preserve">Grafikon 5. </w:t>
      </w:r>
      <w:r w:rsidRPr="00A81FAD">
        <w:rPr>
          <w:rFonts w:ascii="Constantia" w:hAnsi="Constantia"/>
          <w:b/>
          <w:noProof/>
          <w:sz w:val="24"/>
          <w:szCs w:val="24"/>
          <w:lang w:val="sr-Latn-CS"/>
        </w:rPr>
        <w:t>Diferenciranje prioritetnih ulaganja u domaćinstvu</w:t>
      </w:r>
      <w:r w:rsidRPr="00A81FAD">
        <w:rPr>
          <w:rFonts w:ascii="Constantia" w:hAnsi="Constantia"/>
          <w:noProof/>
          <w:sz w:val="24"/>
          <w:szCs w:val="24"/>
          <w:lang w:val="sr-Latn-CS"/>
        </w:rPr>
        <w:t xml:space="preserve"> (%)</w:t>
      </w:r>
    </w:p>
    <w:p w:rsidR="00596814" w:rsidRPr="00A81FAD" w:rsidRDefault="00596814" w:rsidP="006C2222">
      <w:pPr>
        <w:jc w:val="center"/>
        <w:rPr>
          <w:rFonts w:ascii="Constantia" w:hAnsi="Constantia"/>
          <w:noProof/>
          <w:sz w:val="24"/>
          <w:szCs w:val="24"/>
          <w:lang w:val="sr-Latn-CS"/>
        </w:rPr>
      </w:pPr>
      <w:r w:rsidRPr="00A81FAD">
        <w:rPr>
          <w:rFonts w:ascii="Constantia" w:hAnsi="Constantia"/>
          <w:noProof/>
          <w:sz w:val="24"/>
          <w:szCs w:val="24"/>
        </w:rPr>
        <w:drawing>
          <wp:inline distT="0" distB="0" distL="0" distR="0">
            <wp:extent cx="6134100" cy="240982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6814" w:rsidRPr="00A81FAD" w:rsidRDefault="00596814" w:rsidP="00596814">
      <w:pPr>
        <w:pStyle w:val="ListParagraph"/>
        <w:numPr>
          <w:ilvl w:val="0"/>
          <w:numId w:val="13"/>
        </w:numPr>
        <w:jc w:val="both"/>
        <w:rPr>
          <w:rFonts w:ascii="Constantia" w:hAnsi="Constantia"/>
          <w:noProof/>
          <w:sz w:val="24"/>
          <w:szCs w:val="24"/>
          <w:lang w:val="sr-Latn-CS"/>
        </w:rPr>
      </w:pPr>
      <w:r w:rsidRPr="00A81FAD">
        <w:rPr>
          <w:rFonts w:ascii="Constantia" w:hAnsi="Constantia"/>
          <w:noProof/>
          <w:sz w:val="24"/>
          <w:szCs w:val="24"/>
          <w:lang w:val="sr-Latn-CS"/>
        </w:rPr>
        <w:t xml:space="preserve">Kada smo pitali građane Vrbasa na šta bi utrošili prioritetno eventualni zajam za termoizolaciju, najveći broj ispitanika nam je rekao da zajam ne bi uzimao i takvih je 56% ispitanika. Njih 26% čini najveći procenat ispitanika koji se odlučio za neku od opcija i to je bilo poboljšanje prozora, vrata i stolarije. </w:t>
      </w:r>
    </w:p>
    <w:p w:rsidR="00596814" w:rsidRPr="00A81FAD" w:rsidRDefault="00596814" w:rsidP="00596814">
      <w:pPr>
        <w:pStyle w:val="ListParagraph"/>
        <w:numPr>
          <w:ilvl w:val="0"/>
          <w:numId w:val="13"/>
        </w:numPr>
        <w:jc w:val="both"/>
        <w:rPr>
          <w:rFonts w:ascii="Constantia" w:hAnsi="Constantia"/>
          <w:noProof/>
          <w:sz w:val="24"/>
          <w:szCs w:val="24"/>
          <w:lang w:val="sr-Latn-CS"/>
        </w:rPr>
      </w:pPr>
      <w:r w:rsidRPr="00A81FAD">
        <w:rPr>
          <w:rFonts w:ascii="Constantia" w:hAnsi="Constantia"/>
          <w:noProof/>
          <w:sz w:val="24"/>
          <w:szCs w:val="24"/>
          <w:lang w:val="sr-Latn-CS"/>
        </w:rPr>
        <w:t xml:space="preserve">Možemo primetiti da je, kod svih oblika grejanja, prioritetna stvar promena stolarije. Najveće odstupanje od proseka možemo primetiti kod ispitanika koji koriste električne aparate kao način zagrevanja prostorija. Čak 68% njih se izjasnilo da je potrebno ulaganje u stolariju. </w:t>
      </w:r>
    </w:p>
    <w:p w:rsidR="00596814" w:rsidRPr="00A81FAD" w:rsidRDefault="00596814" w:rsidP="00596814">
      <w:pPr>
        <w:pStyle w:val="ListParagraph"/>
        <w:numPr>
          <w:ilvl w:val="0"/>
          <w:numId w:val="13"/>
        </w:numPr>
        <w:jc w:val="both"/>
        <w:rPr>
          <w:rFonts w:ascii="Constantia" w:hAnsi="Constantia"/>
          <w:noProof/>
          <w:sz w:val="24"/>
          <w:szCs w:val="24"/>
          <w:lang w:val="sr-Latn-CS"/>
        </w:rPr>
      </w:pPr>
      <w:r w:rsidRPr="00A81FAD">
        <w:rPr>
          <w:rFonts w:ascii="Constantia" w:hAnsi="Constantia"/>
          <w:noProof/>
          <w:sz w:val="24"/>
          <w:szCs w:val="24"/>
          <w:lang w:val="sr-Latn-CS"/>
        </w:rPr>
        <w:t>Ono što je</w:t>
      </w:r>
      <w:r w:rsidR="006C2222">
        <w:rPr>
          <w:rFonts w:ascii="Constantia" w:hAnsi="Constantia"/>
          <w:noProof/>
          <w:sz w:val="24"/>
          <w:szCs w:val="24"/>
          <w:lang w:val="sr-Latn-CS"/>
        </w:rPr>
        <w:t>,</w:t>
      </w:r>
      <w:r w:rsidRPr="00A81FAD">
        <w:rPr>
          <w:rFonts w:ascii="Constantia" w:hAnsi="Constantia"/>
          <w:noProof/>
          <w:sz w:val="24"/>
          <w:szCs w:val="24"/>
          <w:lang w:val="sr-Latn-CS"/>
        </w:rPr>
        <w:t xml:space="preserve"> takođe</w:t>
      </w:r>
      <w:r w:rsidR="006C2222">
        <w:rPr>
          <w:rFonts w:ascii="Constantia" w:hAnsi="Constantia"/>
          <w:noProof/>
          <w:sz w:val="24"/>
          <w:szCs w:val="24"/>
          <w:lang w:val="sr-Latn-CS"/>
        </w:rPr>
        <w:t>,</w:t>
      </w:r>
      <w:r w:rsidRPr="00A81FAD">
        <w:rPr>
          <w:rFonts w:ascii="Constantia" w:hAnsi="Constantia"/>
          <w:noProof/>
          <w:sz w:val="24"/>
          <w:szCs w:val="24"/>
          <w:lang w:val="sr-Latn-CS"/>
        </w:rPr>
        <w:t xml:space="preserve"> interesanto jeste da domaćinstva koja koriste sistem daljinskog ili etažnog grejanja, znatno odstupaju od proseka. Vidno niži procenti se beleže kada su u pitanju ulaganja u sve navedene segmente. </w:t>
      </w:r>
    </w:p>
    <w:p w:rsidR="006C2222" w:rsidRDefault="006C2222" w:rsidP="00596814">
      <w:pPr>
        <w:jc w:val="both"/>
        <w:rPr>
          <w:rFonts w:ascii="Constantia" w:hAnsi="Constantia"/>
          <w:noProof/>
          <w:sz w:val="24"/>
          <w:szCs w:val="24"/>
          <w:lang w:val="sr-Latn-CS"/>
        </w:rPr>
      </w:pPr>
    </w:p>
    <w:p w:rsidR="00C467C5" w:rsidRPr="00A81FAD" w:rsidRDefault="00C467C5" w:rsidP="00596814">
      <w:pPr>
        <w:jc w:val="both"/>
        <w:rPr>
          <w:rFonts w:ascii="Constantia" w:hAnsi="Constantia"/>
          <w:noProof/>
          <w:sz w:val="24"/>
          <w:szCs w:val="24"/>
          <w:lang w:val="sr-Latn-CS"/>
        </w:rPr>
      </w:pPr>
    </w:p>
    <w:p w:rsidR="00596814" w:rsidRPr="005B4E88" w:rsidRDefault="006C2222" w:rsidP="006C2222">
      <w:pPr>
        <w:jc w:val="both"/>
        <w:rPr>
          <w:rFonts w:ascii="Constantia" w:hAnsi="Constantia"/>
          <w:noProof/>
          <w:sz w:val="36"/>
          <w:szCs w:val="36"/>
          <w:lang w:val="sr-Latn-CS"/>
        </w:rPr>
      </w:pPr>
      <w:r w:rsidRPr="005B4E88">
        <w:rPr>
          <w:rFonts w:ascii="Constantia" w:hAnsi="Constantia"/>
          <w:b/>
          <w:noProof/>
          <w:sz w:val="36"/>
          <w:szCs w:val="36"/>
          <w:lang w:val="sr-Latn-CS"/>
        </w:rPr>
        <w:t xml:space="preserve">3. </w:t>
      </w:r>
      <w:r w:rsidR="00596814" w:rsidRPr="005B4E88">
        <w:rPr>
          <w:rFonts w:ascii="Constantia" w:hAnsi="Constantia"/>
          <w:b/>
          <w:noProof/>
          <w:sz w:val="36"/>
          <w:szCs w:val="36"/>
          <w:lang w:val="sr-Latn-CS"/>
        </w:rPr>
        <w:t>Potrošnja električne energije u domaćinstvima u Vrbasu</w:t>
      </w:r>
    </w:p>
    <w:p w:rsidR="00596814" w:rsidRPr="00A81FAD" w:rsidRDefault="00596814" w:rsidP="00596814">
      <w:pPr>
        <w:jc w:val="both"/>
        <w:rPr>
          <w:rFonts w:ascii="Constantia" w:hAnsi="Constantia"/>
          <w:noProof/>
          <w:sz w:val="24"/>
          <w:szCs w:val="24"/>
          <w:lang w:val="sr-Latn-CS"/>
        </w:rPr>
      </w:pPr>
    </w:p>
    <w:p w:rsidR="00596814" w:rsidRPr="00A81FAD" w:rsidRDefault="00596814" w:rsidP="00596814">
      <w:pPr>
        <w:pStyle w:val="ListParagraph"/>
        <w:numPr>
          <w:ilvl w:val="0"/>
          <w:numId w:val="14"/>
        </w:numPr>
        <w:jc w:val="both"/>
        <w:rPr>
          <w:rFonts w:ascii="Constantia" w:hAnsi="Constantia"/>
          <w:noProof/>
          <w:sz w:val="24"/>
          <w:szCs w:val="24"/>
          <w:lang w:val="sr-Latn-CS"/>
        </w:rPr>
      </w:pPr>
      <w:r w:rsidRPr="00A81FAD">
        <w:rPr>
          <w:rFonts w:ascii="Constantia" w:hAnsi="Constantia"/>
          <w:noProof/>
          <w:sz w:val="24"/>
          <w:szCs w:val="24"/>
          <w:lang w:val="sr-Latn-CS"/>
        </w:rPr>
        <w:t xml:space="preserve">Građani Vrbasa znatno više vode računa o mesečnom iznosu novca koji troše na račune za struju nego o broju potrošenih kilovat časova. Iako postoji uska veza između ove dve stvari, ono što zanima ispitane građane Vrbasa je pre svega iznos u dinarima, dok su im potrošeni kilovat časovi sporedna stvar. </w:t>
      </w:r>
    </w:p>
    <w:p w:rsidR="00596814" w:rsidRPr="00C467C5" w:rsidRDefault="00596814" w:rsidP="00596814">
      <w:pPr>
        <w:pStyle w:val="ListParagraph"/>
        <w:numPr>
          <w:ilvl w:val="0"/>
          <w:numId w:val="14"/>
        </w:numPr>
        <w:jc w:val="both"/>
        <w:rPr>
          <w:rFonts w:ascii="Constantia" w:hAnsi="Constantia"/>
          <w:noProof/>
          <w:sz w:val="24"/>
          <w:szCs w:val="24"/>
          <w:lang w:val="sr-Latn-CS"/>
        </w:rPr>
      </w:pPr>
      <w:r w:rsidRPr="00A81FAD">
        <w:rPr>
          <w:rFonts w:ascii="Constantia" w:hAnsi="Constantia"/>
          <w:noProof/>
          <w:sz w:val="24"/>
          <w:szCs w:val="24"/>
          <w:lang w:val="sr-Latn-CS"/>
        </w:rPr>
        <w:t xml:space="preserve">Stoga ne treba da čudi podatak da je svega 28% ispitanika u Vrbasu znalo da nam navede tačan iznos prosečne mesečne potrošnje (ne računajući struju koju potroše na grejanje) u kilovat časovima, dok je taj procenat za navođenje novčane sume 87%. </w:t>
      </w:r>
    </w:p>
    <w:p w:rsidR="00596814" w:rsidRPr="00A81FAD" w:rsidRDefault="00596814" w:rsidP="00596814">
      <w:pPr>
        <w:jc w:val="both"/>
        <w:rPr>
          <w:rFonts w:ascii="Constantia" w:hAnsi="Constantia"/>
          <w:noProof/>
          <w:sz w:val="24"/>
          <w:szCs w:val="24"/>
          <w:lang w:val="sr-Latn-CS"/>
        </w:rPr>
      </w:pPr>
      <w:r w:rsidRPr="00A81FAD">
        <w:rPr>
          <w:rFonts w:ascii="Constantia" w:hAnsi="Constantia"/>
          <w:noProof/>
          <w:sz w:val="24"/>
          <w:szCs w:val="24"/>
          <w:lang w:val="sr-Latn-CS"/>
        </w:rPr>
        <w:t xml:space="preserve">Grafikon 6. </w:t>
      </w:r>
      <w:r w:rsidRPr="00A81FAD">
        <w:rPr>
          <w:rFonts w:ascii="Constantia" w:hAnsi="Constantia"/>
          <w:b/>
          <w:noProof/>
          <w:sz w:val="24"/>
          <w:szCs w:val="24"/>
          <w:lang w:val="sr-Latn-CS"/>
        </w:rPr>
        <w:t>Prosečna mesečna količina utrošene električne energije u kWh</w:t>
      </w:r>
      <w:r w:rsidRPr="00A81FAD">
        <w:rPr>
          <w:rFonts w:ascii="Constantia" w:hAnsi="Constantia"/>
          <w:noProof/>
          <w:sz w:val="24"/>
          <w:szCs w:val="24"/>
          <w:lang w:val="sr-Latn-CS"/>
        </w:rPr>
        <w:t xml:space="preserve"> (%)</w:t>
      </w:r>
    </w:p>
    <w:p w:rsidR="00596814" w:rsidRDefault="00596814" w:rsidP="006C2222">
      <w:pPr>
        <w:jc w:val="center"/>
        <w:rPr>
          <w:rFonts w:ascii="Constantia" w:hAnsi="Constantia"/>
          <w:noProof/>
          <w:sz w:val="24"/>
          <w:szCs w:val="24"/>
          <w:lang w:val="sr-Latn-CS"/>
        </w:rPr>
      </w:pPr>
      <w:r w:rsidRPr="00A81FAD">
        <w:rPr>
          <w:rFonts w:ascii="Constantia" w:hAnsi="Constantia"/>
          <w:noProof/>
          <w:sz w:val="24"/>
          <w:szCs w:val="24"/>
        </w:rPr>
        <w:drawing>
          <wp:inline distT="0" distB="0" distL="0" distR="0">
            <wp:extent cx="5943600" cy="197167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67C5" w:rsidRDefault="00C467C5" w:rsidP="006C2222">
      <w:pPr>
        <w:jc w:val="center"/>
        <w:rPr>
          <w:rFonts w:ascii="Constantia" w:hAnsi="Constantia"/>
          <w:noProof/>
          <w:sz w:val="24"/>
          <w:szCs w:val="24"/>
          <w:lang w:val="sr-Latn-CS"/>
        </w:rPr>
      </w:pPr>
    </w:p>
    <w:p w:rsidR="00C467C5" w:rsidRPr="00A81FAD" w:rsidRDefault="00C467C5" w:rsidP="006C2222">
      <w:pPr>
        <w:jc w:val="center"/>
        <w:rPr>
          <w:rFonts w:ascii="Constantia" w:hAnsi="Constantia"/>
          <w:noProof/>
          <w:sz w:val="24"/>
          <w:szCs w:val="24"/>
          <w:lang w:val="sr-Latn-CS"/>
        </w:rPr>
      </w:pPr>
    </w:p>
    <w:p w:rsidR="00596814" w:rsidRPr="00A81FAD" w:rsidRDefault="00596814" w:rsidP="00596814">
      <w:pPr>
        <w:pStyle w:val="ListParagraph"/>
        <w:numPr>
          <w:ilvl w:val="0"/>
          <w:numId w:val="15"/>
        </w:numPr>
        <w:jc w:val="both"/>
        <w:rPr>
          <w:rFonts w:ascii="Constantia" w:hAnsi="Constantia"/>
          <w:noProof/>
          <w:sz w:val="24"/>
          <w:szCs w:val="24"/>
          <w:lang w:val="sr-Latn-CS"/>
        </w:rPr>
      </w:pPr>
      <w:r w:rsidRPr="00A81FAD">
        <w:rPr>
          <w:rFonts w:ascii="Constantia" w:hAnsi="Constantia"/>
          <w:noProof/>
          <w:sz w:val="24"/>
          <w:szCs w:val="24"/>
          <w:lang w:val="sr-Latn-CS"/>
        </w:rPr>
        <w:t>Među ispitanicima koji vode računa o mesečnoj potrošnji električne energije (bez struje), njih 65% se izjasnilo da troše do 500 kWh, dok je svega 3% onih koji troše preko 1000 kWh mesečno. Ovo nam pokazuje da postoji jasna veza između ispitanika koji su upoznati sa količinom utrošene električne energije u kWh i štednje.</w:t>
      </w:r>
    </w:p>
    <w:p w:rsidR="00596814" w:rsidRPr="00A81FAD" w:rsidRDefault="00596814" w:rsidP="00596814">
      <w:pPr>
        <w:jc w:val="both"/>
        <w:rPr>
          <w:rFonts w:ascii="Constantia" w:hAnsi="Constantia"/>
          <w:noProof/>
          <w:sz w:val="24"/>
          <w:szCs w:val="24"/>
          <w:lang w:val="sr-Latn-CS"/>
        </w:rPr>
      </w:pPr>
      <w:r w:rsidRPr="00A81FAD">
        <w:rPr>
          <w:rFonts w:ascii="Constantia" w:hAnsi="Constantia"/>
          <w:noProof/>
          <w:sz w:val="24"/>
          <w:szCs w:val="24"/>
          <w:lang w:val="sr-Latn-CS"/>
        </w:rPr>
        <w:t xml:space="preserve">Grafikon 7. </w:t>
      </w:r>
      <w:r w:rsidRPr="00A81FAD">
        <w:rPr>
          <w:rFonts w:ascii="Constantia" w:hAnsi="Constantia"/>
          <w:b/>
          <w:noProof/>
          <w:sz w:val="24"/>
          <w:szCs w:val="24"/>
          <w:lang w:val="sr-Latn-CS"/>
        </w:rPr>
        <w:t>Prosečna mesečna količina utrošene električne energije u novcu</w:t>
      </w:r>
      <w:r w:rsidRPr="00A81FAD">
        <w:rPr>
          <w:rFonts w:ascii="Constantia" w:hAnsi="Constantia"/>
          <w:noProof/>
          <w:sz w:val="24"/>
          <w:szCs w:val="24"/>
          <w:lang w:val="sr-Latn-CS"/>
        </w:rPr>
        <w:t xml:space="preserve"> (%)</w:t>
      </w:r>
    </w:p>
    <w:p w:rsidR="00596814" w:rsidRPr="00A81FAD" w:rsidRDefault="00596814" w:rsidP="006C2222">
      <w:pPr>
        <w:jc w:val="center"/>
        <w:rPr>
          <w:rFonts w:ascii="Constantia" w:hAnsi="Constantia"/>
          <w:noProof/>
          <w:sz w:val="24"/>
          <w:szCs w:val="24"/>
          <w:lang w:val="sr-Latn-CS"/>
        </w:rPr>
      </w:pPr>
      <w:r w:rsidRPr="00A81FAD">
        <w:rPr>
          <w:rFonts w:ascii="Constantia" w:hAnsi="Constantia"/>
          <w:noProof/>
          <w:sz w:val="24"/>
          <w:szCs w:val="24"/>
        </w:rPr>
        <w:drawing>
          <wp:inline distT="0" distB="0" distL="0" distR="0">
            <wp:extent cx="6048375" cy="1809750"/>
            <wp:effectExtent l="0" t="0" r="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6814" w:rsidRPr="00A81FAD" w:rsidRDefault="00596814" w:rsidP="00596814">
      <w:pPr>
        <w:pStyle w:val="ListParagraph"/>
        <w:numPr>
          <w:ilvl w:val="0"/>
          <w:numId w:val="15"/>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Broj ispitanika koji troše do 1500 dinara mesečno iznosi 13%. Nešto više od trećine domaćinstava u Vrbasu troši do 3000 dinara mesečno, dok najveći procenat ispitanika troši između 3000 i 6000 dinara mesečno na električnu energiju (42%). </w:t>
      </w:r>
      <w:r w:rsidR="006C2222">
        <w:rPr>
          <w:rFonts w:ascii="Constantia" w:hAnsi="Constantia" w:cs="Times New Roman"/>
          <w:noProof/>
          <w:sz w:val="24"/>
          <w:szCs w:val="24"/>
          <w:lang w:val="sr-Latn-CS"/>
        </w:rPr>
        <w:t>Veoma</w:t>
      </w:r>
      <w:r w:rsidRPr="00A81FAD">
        <w:rPr>
          <w:rFonts w:ascii="Constantia" w:hAnsi="Constantia" w:cs="Times New Roman"/>
          <w:noProof/>
          <w:sz w:val="24"/>
          <w:szCs w:val="24"/>
          <w:lang w:val="sr-Latn-CS"/>
        </w:rPr>
        <w:t xml:space="preserve"> mali procenat domaćinstava troši nešto više novca od pomenutih kategorija. </w:t>
      </w:r>
    </w:p>
    <w:p w:rsidR="00596814" w:rsidRPr="00A81FAD" w:rsidRDefault="00596814" w:rsidP="00596814">
      <w:pPr>
        <w:pStyle w:val="ListParagraph"/>
        <w:numPr>
          <w:ilvl w:val="0"/>
          <w:numId w:val="15"/>
        </w:numPr>
        <w:jc w:val="both"/>
        <w:rPr>
          <w:rFonts w:ascii="Constantia" w:hAnsi="Constantia"/>
          <w:noProof/>
          <w:sz w:val="24"/>
          <w:szCs w:val="24"/>
          <w:lang w:val="sr-Latn-CS"/>
        </w:rPr>
      </w:pPr>
      <w:r w:rsidRPr="00A81FAD">
        <w:rPr>
          <w:rFonts w:ascii="Constantia" w:hAnsi="Constantia"/>
          <w:noProof/>
          <w:sz w:val="24"/>
          <w:szCs w:val="24"/>
          <w:lang w:val="sr-Latn-CS"/>
        </w:rPr>
        <w:t>Ispitanici u Vrbasu su mnogo bolje upoznati sa količinom novca koji mesečno izdvajaju kako bi pokrili troškove električne energije od količine potrošenih kilovat časova. Svega 13% ispitanika nije znalo da proračuna koliko novca mesečno izdvaja radi plaćanja mesečnog računa za struju bez troškova grejanja.</w:t>
      </w:r>
    </w:p>
    <w:p w:rsidR="00596814" w:rsidRPr="00A81FAD" w:rsidRDefault="00596814" w:rsidP="00596814">
      <w:pPr>
        <w:pStyle w:val="ListParagraph"/>
        <w:numPr>
          <w:ilvl w:val="0"/>
          <w:numId w:val="15"/>
        </w:numPr>
        <w:jc w:val="both"/>
        <w:rPr>
          <w:rFonts w:ascii="Constantia" w:hAnsi="Constantia"/>
          <w:noProof/>
          <w:sz w:val="24"/>
          <w:szCs w:val="24"/>
          <w:lang w:val="sr-Latn-CS"/>
        </w:rPr>
      </w:pPr>
      <w:r w:rsidRPr="00A81FAD">
        <w:rPr>
          <w:rFonts w:ascii="Constantia" w:hAnsi="Constantia"/>
          <w:noProof/>
          <w:sz w:val="24"/>
          <w:szCs w:val="24"/>
          <w:lang w:val="sr-Latn-CS"/>
        </w:rPr>
        <w:t xml:space="preserve">Dakle, ispitanici koji prate broj potrošenih kilovat časova su istovremeno i oni koji u većoj meri štede električnu energiju. </w:t>
      </w:r>
    </w:p>
    <w:p w:rsidR="00596814" w:rsidRDefault="00596814" w:rsidP="00596814">
      <w:pPr>
        <w:jc w:val="both"/>
        <w:rPr>
          <w:rFonts w:ascii="Constantia" w:hAnsi="Constantia"/>
          <w:noProof/>
          <w:sz w:val="24"/>
          <w:szCs w:val="24"/>
          <w:lang w:val="sr-Latn-CS"/>
        </w:rPr>
      </w:pPr>
    </w:p>
    <w:p w:rsidR="00C467C5" w:rsidRPr="00A81FAD" w:rsidRDefault="00C467C5" w:rsidP="00596814">
      <w:pPr>
        <w:jc w:val="both"/>
        <w:rPr>
          <w:rFonts w:ascii="Constantia" w:hAnsi="Constantia"/>
          <w:noProof/>
          <w:sz w:val="24"/>
          <w:szCs w:val="24"/>
          <w:lang w:val="sr-Latn-CS"/>
        </w:rPr>
      </w:pPr>
    </w:p>
    <w:p w:rsidR="00596814" w:rsidRPr="00A81FAD" w:rsidRDefault="00596814" w:rsidP="00596814">
      <w:pPr>
        <w:jc w:val="both"/>
        <w:rPr>
          <w:rFonts w:ascii="Constantia" w:hAnsi="Constantia" w:cs="Times New Roman"/>
          <w:b/>
          <w:noProof/>
          <w:sz w:val="24"/>
          <w:szCs w:val="24"/>
          <w:lang w:val="sr-Latn-CS"/>
        </w:rPr>
      </w:pPr>
      <w:r w:rsidRPr="00A81FAD">
        <w:rPr>
          <w:rFonts w:ascii="Constantia" w:hAnsi="Constantia" w:cs="Times New Roman"/>
          <w:noProof/>
          <w:sz w:val="24"/>
          <w:szCs w:val="24"/>
          <w:lang w:val="sr-Latn-CS"/>
        </w:rPr>
        <w:t xml:space="preserve">Grafikon 8. </w:t>
      </w:r>
      <w:r w:rsidRPr="00A81FAD">
        <w:rPr>
          <w:rFonts w:ascii="Constantia" w:hAnsi="Constantia" w:cs="Times New Roman"/>
          <w:b/>
          <w:noProof/>
          <w:sz w:val="24"/>
          <w:szCs w:val="24"/>
          <w:lang w:val="sr-Latn-CS"/>
        </w:rPr>
        <w:t>Odnos viša-niža tarifa</w:t>
      </w:r>
    </w:p>
    <w:p w:rsidR="00596814" w:rsidRPr="00A81FAD" w:rsidRDefault="00596814" w:rsidP="006C2222">
      <w:pPr>
        <w:jc w:val="center"/>
        <w:rPr>
          <w:rFonts w:ascii="Constantia" w:hAnsi="Constantia"/>
          <w:noProof/>
          <w:sz w:val="24"/>
          <w:szCs w:val="24"/>
          <w:lang w:val="sr-Latn-CS"/>
        </w:rPr>
      </w:pPr>
      <w:r w:rsidRPr="00A81FAD">
        <w:rPr>
          <w:rFonts w:ascii="Constantia" w:hAnsi="Constantia"/>
          <w:noProof/>
          <w:sz w:val="24"/>
          <w:szCs w:val="24"/>
        </w:rPr>
        <w:drawing>
          <wp:inline distT="0" distB="0" distL="0" distR="0">
            <wp:extent cx="5238750" cy="1895475"/>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6814" w:rsidRPr="006C2222" w:rsidRDefault="00596814" w:rsidP="00596814">
      <w:pPr>
        <w:pStyle w:val="ListParagraph"/>
        <w:numPr>
          <w:ilvl w:val="0"/>
          <w:numId w:val="16"/>
        </w:numPr>
        <w:jc w:val="both"/>
        <w:rPr>
          <w:rFonts w:ascii="Constantia" w:hAnsi="Constantia"/>
          <w:noProof/>
          <w:sz w:val="24"/>
          <w:szCs w:val="24"/>
          <w:lang w:val="sr-Latn-CS"/>
        </w:rPr>
      </w:pPr>
      <w:r w:rsidRPr="00A81FAD">
        <w:rPr>
          <w:rFonts w:ascii="Constantia" w:hAnsi="Constantia"/>
          <w:noProof/>
          <w:sz w:val="24"/>
          <w:szCs w:val="24"/>
          <w:lang w:val="sr-Latn-CS"/>
        </w:rPr>
        <w:t xml:space="preserve">Građani Vrbasa, u proseku, smatraju da je 59 % električne energije koju potroše tarifirana po višoj ceni, dok je 41% utrošene energije tarifirano po nižoj ceni. </w:t>
      </w: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9. </w:t>
      </w:r>
      <w:r w:rsidRPr="00A81FAD">
        <w:rPr>
          <w:rFonts w:ascii="Constantia" w:hAnsi="Constantia" w:cs="Times New Roman"/>
          <w:b/>
          <w:noProof/>
          <w:sz w:val="24"/>
          <w:szCs w:val="24"/>
          <w:lang w:val="sr-Latn-CS"/>
        </w:rPr>
        <w:t>Korišćenje popusta na osnovu uštede struje</w:t>
      </w:r>
      <w:r w:rsidRPr="00A81FAD">
        <w:rPr>
          <w:rFonts w:ascii="Constantia" w:hAnsi="Constantia" w:cs="Times New Roman"/>
          <w:noProof/>
          <w:sz w:val="24"/>
          <w:szCs w:val="24"/>
          <w:lang w:val="sr-Latn-CS"/>
        </w:rPr>
        <w:t xml:space="preserve"> (%)</w:t>
      </w:r>
    </w:p>
    <w:p w:rsidR="00596814" w:rsidRDefault="00596814" w:rsidP="006C2222">
      <w:pPr>
        <w:jc w:val="center"/>
        <w:rPr>
          <w:rFonts w:ascii="Constantia" w:hAnsi="Constantia"/>
          <w:noProof/>
          <w:sz w:val="24"/>
          <w:szCs w:val="24"/>
          <w:lang w:val="sr-Latn-CS"/>
        </w:rPr>
      </w:pPr>
      <w:r w:rsidRPr="00A81FAD">
        <w:rPr>
          <w:rFonts w:ascii="Constantia" w:hAnsi="Constantia"/>
          <w:noProof/>
          <w:sz w:val="24"/>
          <w:szCs w:val="24"/>
        </w:rPr>
        <w:drawing>
          <wp:inline distT="0" distB="0" distL="0" distR="0">
            <wp:extent cx="6418052" cy="1716656"/>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67C5" w:rsidRPr="00A81FAD" w:rsidRDefault="00C467C5" w:rsidP="006C2222">
      <w:pPr>
        <w:jc w:val="center"/>
        <w:rPr>
          <w:rFonts w:ascii="Constantia" w:hAnsi="Constantia"/>
          <w:noProof/>
          <w:sz w:val="24"/>
          <w:szCs w:val="24"/>
          <w:lang w:val="sr-Latn-CS"/>
        </w:rPr>
      </w:pPr>
    </w:p>
    <w:p w:rsidR="00596814" w:rsidRPr="00C467C5" w:rsidRDefault="00596814" w:rsidP="00596814">
      <w:pPr>
        <w:pStyle w:val="ListParagraph"/>
        <w:numPr>
          <w:ilvl w:val="0"/>
          <w:numId w:val="16"/>
        </w:numPr>
        <w:jc w:val="both"/>
        <w:rPr>
          <w:rFonts w:ascii="Constantia" w:hAnsi="Constantia"/>
          <w:noProof/>
          <w:sz w:val="24"/>
          <w:szCs w:val="24"/>
          <w:lang w:val="sr-Latn-CS"/>
        </w:rPr>
      </w:pPr>
      <w:r w:rsidRPr="00A81FAD">
        <w:rPr>
          <w:rFonts w:ascii="Constantia" w:hAnsi="Constantia"/>
          <w:noProof/>
          <w:sz w:val="24"/>
          <w:szCs w:val="24"/>
          <w:lang w:val="sr-Latn-CS"/>
        </w:rPr>
        <w:t>Skoro svaki peti ispitanik u Vrbasu ispunjava uslove za popust na mesečni račun kada je u pitanju plaćanje električne energije. Veoma visok procenat je onih koji uopšte nemaju pravo uma</w:t>
      </w:r>
      <w:r w:rsidR="006C2222">
        <w:rPr>
          <w:rFonts w:ascii="Constantia" w:hAnsi="Constantia"/>
          <w:noProof/>
          <w:sz w:val="24"/>
          <w:szCs w:val="24"/>
          <w:lang w:val="sr-Latn-CS"/>
        </w:rPr>
        <w:t>n</w:t>
      </w:r>
      <w:r w:rsidRPr="00A81FAD">
        <w:rPr>
          <w:rFonts w:ascii="Constantia" w:hAnsi="Constantia"/>
          <w:noProof/>
          <w:sz w:val="24"/>
          <w:szCs w:val="24"/>
          <w:lang w:val="sr-Latn-CS"/>
        </w:rPr>
        <w:t xml:space="preserve">jenje mesečnog računa (69%), dok 19% čine ispitanici koji su imali i ostvarili pravo na popust. </w:t>
      </w:r>
    </w:p>
    <w:p w:rsidR="00596814" w:rsidRPr="00A81FAD" w:rsidRDefault="00596814" w:rsidP="00596814">
      <w:pPr>
        <w:jc w:val="both"/>
        <w:rPr>
          <w:rFonts w:ascii="Constantia" w:hAnsi="Constantia" w:cs="Times New Roman"/>
          <w:b/>
          <w:noProof/>
          <w:sz w:val="24"/>
          <w:szCs w:val="24"/>
          <w:lang w:val="sr-Latn-CS"/>
        </w:rPr>
      </w:pPr>
      <w:r w:rsidRPr="00A81FAD">
        <w:rPr>
          <w:rFonts w:ascii="Constantia" w:hAnsi="Constantia" w:cs="Times New Roman"/>
          <w:noProof/>
          <w:sz w:val="24"/>
          <w:szCs w:val="24"/>
          <w:lang w:val="sr-Latn-CS"/>
        </w:rPr>
        <w:t>Grafikon 10.</w:t>
      </w:r>
      <w:r w:rsidRPr="00A81FAD">
        <w:rPr>
          <w:rFonts w:ascii="Constantia" w:hAnsi="Constantia" w:cs="Times New Roman"/>
          <w:b/>
          <w:noProof/>
          <w:sz w:val="24"/>
          <w:szCs w:val="24"/>
          <w:lang w:val="sr-Latn-CS"/>
        </w:rPr>
        <w:t xml:space="preserve"> Posedovanje klima uređaja </w:t>
      </w:r>
      <w:r w:rsidRPr="00A81FAD">
        <w:rPr>
          <w:rFonts w:ascii="Constantia" w:hAnsi="Constantia" w:cs="Times New Roman"/>
          <w:noProof/>
          <w:sz w:val="24"/>
          <w:szCs w:val="24"/>
          <w:lang w:val="sr-Latn-CS"/>
        </w:rPr>
        <w:t xml:space="preserve">         Grafikon  11. </w:t>
      </w:r>
      <w:r w:rsidRPr="00A81FAD">
        <w:rPr>
          <w:rFonts w:ascii="Constantia" w:hAnsi="Constantia" w:cs="Times New Roman"/>
          <w:b/>
          <w:noProof/>
          <w:sz w:val="24"/>
          <w:szCs w:val="24"/>
          <w:lang w:val="sr-Latn-CS"/>
        </w:rPr>
        <w:t>U Vrbasu se za kuvanje koristi...</w:t>
      </w:r>
    </w:p>
    <w:p w:rsidR="00596814" w:rsidRPr="00A81FAD" w:rsidRDefault="00596814" w:rsidP="006C2222">
      <w:pPr>
        <w:rPr>
          <w:rFonts w:ascii="Constantia" w:hAnsi="Constantia"/>
          <w:noProof/>
          <w:lang w:val="sr-Latn-CS"/>
        </w:rPr>
      </w:pPr>
      <w:r w:rsidRPr="00A81FAD">
        <w:rPr>
          <w:rFonts w:ascii="Constantia" w:hAnsi="Constantia" w:cs="Times New Roman"/>
          <w:b/>
          <w:noProof/>
          <w:sz w:val="24"/>
          <w:szCs w:val="24"/>
        </w:rPr>
        <w:drawing>
          <wp:inline distT="0" distB="0" distL="0" distR="0">
            <wp:extent cx="2847975" cy="1952625"/>
            <wp:effectExtent l="0" t="0" r="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81FAD">
        <w:rPr>
          <w:rFonts w:ascii="Constantia" w:hAnsi="Constantia"/>
          <w:noProof/>
          <w:lang w:val="sr-Latn-CS"/>
        </w:rPr>
        <w:t xml:space="preserve"> </w:t>
      </w:r>
      <w:r w:rsidRPr="00A81FAD">
        <w:rPr>
          <w:rFonts w:ascii="Constantia" w:hAnsi="Constantia" w:cs="Times New Roman"/>
          <w:b/>
          <w:noProof/>
          <w:sz w:val="24"/>
          <w:szCs w:val="24"/>
        </w:rPr>
        <w:drawing>
          <wp:inline distT="0" distB="0" distL="0" distR="0">
            <wp:extent cx="4002657" cy="2053087"/>
            <wp:effectExtent l="0" t="0" r="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6814" w:rsidRPr="00A81FAD" w:rsidRDefault="00596814" w:rsidP="00596814">
      <w:pPr>
        <w:pStyle w:val="ListParagraph"/>
        <w:numPr>
          <w:ilvl w:val="0"/>
          <w:numId w:val="16"/>
        </w:numPr>
        <w:jc w:val="both"/>
        <w:rPr>
          <w:rFonts w:ascii="Constantia" w:hAnsi="Constantia"/>
          <w:noProof/>
          <w:sz w:val="24"/>
          <w:szCs w:val="24"/>
          <w:lang w:val="sr-Latn-CS"/>
        </w:rPr>
      </w:pPr>
      <w:r w:rsidRPr="00A81FAD">
        <w:rPr>
          <w:rFonts w:ascii="Constantia" w:hAnsi="Constantia"/>
          <w:noProof/>
          <w:sz w:val="24"/>
          <w:szCs w:val="24"/>
          <w:lang w:val="sr-Latn-CS"/>
        </w:rPr>
        <w:t xml:space="preserve">Može se primetiti da među građanima Vrbasa, tek svako peto domaćinstvo poseduje klima uređaj što može </w:t>
      </w:r>
      <w:r w:rsidR="0024087F">
        <w:rPr>
          <w:rFonts w:ascii="Constantia" w:hAnsi="Constantia"/>
          <w:noProof/>
          <w:sz w:val="24"/>
          <w:szCs w:val="24"/>
          <w:lang w:val="sr-Latn-CS"/>
        </w:rPr>
        <w:t>činiti</w:t>
      </w:r>
      <w:r w:rsidRPr="00A81FAD">
        <w:rPr>
          <w:rFonts w:ascii="Constantia" w:hAnsi="Constantia"/>
          <w:noProof/>
          <w:sz w:val="24"/>
          <w:szCs w:val="24"/>
          <w:lang w:val="sr-Latn-CS"/>
        </w:rPr>
        <w:t xml:space="preserve"> još jedan od načina uštede električne energije. Takođe, visok procenat korisnika gasa ili plina za kuvanje (35%) u domaćinstvima, značajno doprinosi smanjenju mesečnih računa koji stižu domaćinstvima u Vrbasu.</w:t>
      </w:r>
    </w:p>
    <w:p w:rsidR="00596814" w:rsidRPr="00A81FAD" w:rsidRDefault="00596814" w:rsidP="00596814">
      <w:pPr>
        <w:jc w:val="both"/>
        <w:rPr>
          <w:rFonts w:ascii="Constantia" w:hAnsi="Constantia"/>
          <w:noProof/>
          <w:sz w:val="24"/>
          <w:szCs w:val="24"/>
          <w:lang w:val="sr-Latn-CS"/>
        </w:rPr>
      </w:pPr>
    </w:p>
    <w:p w:rsidR="00596814" w:rsidRPr="00A81FAD" w:rsidRDefault="00596814" w:rsidP="00596814">
      <w:pPr>
        <w:jc w:val="both"/>
        <w:rPr>
          <w:rFonts w:ascii="Constantia" w:hAnsi="Constantia"/>
          <w:noProof/>
          <w:sz w:val="24"/>
          <w:szCs w:val="24"/>
          <w:lang w:val="sr-Latn-CS"/>
        </w:rPr>
      </w:pPr>
    </w:p>
    <w:p w:rsidR="00596814" w:rsidRDefault="00596814" w:rsidP="00596814">
      <w:pPr>
        <w:jc w:val="both"/>
        <w:rPr>
          <w:rFonts w:ascii="Constantia" w:hAnsi="Constantia"/>
          <w:noProof/>
          <w:sz w:val="24"/>
          <w:szCs w:val="24"/>
          <w:lang w:val="sr-Latn-CS"/>
        </w:rPr>
      </w:pPr>
    </w:p>
    <w:p w:rsidR="00C467C5" w:rsidRPr="00A81FAD" w:rsidRDefault="00C467C5" w:rsidP="00596814">
      <w:pPr>
        <w:jc w:val="both"/>
        <w:rPr>
          <w:rFonts w:ascii="Constantia" w:hAnsi="Constantia"/>
          <w:noProof/>
          <w:sz w:val="24"/>
          <w:szCs w:val="24"/>
          <w:lang w:val="sr-Latn-CS"/>
        </w:rPr>
      </w:pPr>
    </w:p>
    <w:p w:rsidR="00596814" w:rsidRPr="005B4E88" w:rsidRDefault="006C2222" w:rsidP="006C2222">
      <w:pPr>
        <w:jc w:val="both"/>
        <w:rPr>
          <w:rFonts w:ascii="Constantia" w:hAnsi="Constantia"/>
          <w:b/>
          <w:noProof/>
          <w:sz w:val="36"/>
          <w:szCs w:val="36"/>
          <w:lang w:val="sr-Latn-CS"/>
        </w:rPr>
      </w:pPr>
      <w:r w:rsidRPr="005B4E88">
        <w:rPr>
          <w:rFonts w:ascii="Constantia" w:hAnsi="Constantia"/>
          <w:b/>
          <w:noProof/>
          <w:sz w:val="36"/>
          <w:szCs w:val="36"/>
          <w:lang w:val="sr-Latn-CS"/>
        </w:rPr>
        <w:t xml:space="preserve">4. </w:t>
      </w:r>
      <w:r w:rsidR="00596814" w:rsidRPr="005B4E88">
        <w:rPr>
          <w:rFonts w:ascii="Constantia" w:hAnsi="Constantia"/>
          <w:b/>
          <w:noProof/>
          <w:sz w:val="36"/>
          <w:szCs w:val="36"/>
          <w:lang w:val="sr-Latn-CS"/>
        </w:rPr>
        <w:t>Bicikl kao vid alternativnog transporta u Vrbasu</w:t>
      </w:r>
    </w:p>
    <w:p w:rsidR="00596814" w:rsidRPr="00A81FAD" w:rsidRDefault="00596814" w:rsidP="00596814">
      <w:pPr>
        <w:jc w:val="both"/>
        <w:rPr>
          <w:rFonts w:ascii="Constantia" w:hAnsi="Constantia"/>
          <w:b/>
          <w:noProof/>
          <w:sz w:val="28"/>
          <w:szCs w:val="28"/>
          <w:lang w:val="sr-Latn-CS"/>
        </w:rPr>
      </w:pPr>
    </w:p>
    <w:p w:rsidR="00596814" w:rsidRPr="00C467C5" w:rsidRDefault="00596814" w:rsidP="00C467C5">
      <w:pPr>
        <w:pStyle w:val="ListParagraph"/>
        <w:numPr>
          <w:ilvl w:val="0"/>
          <w:numId w:val="16"/>
        </w:numPr>
        <w:jc w:val="both"/>
        <w:rPr>
          <w:rFonts w:ascii="Constantia" w:hAnsi="Constantia"/>
          <w:noProof/>
          <w:sz w:val="24"/>
          <w:szCs w:val="24"/>
          <w:lang w:val="sr-Latn-CS"/>
        </w:rPr>
      </w:pPr>
      <w:r w:rsidRPr="00A81FAD">
        <w:rPr>
          <w:rFonts w:ascii="Constantia" w:hAnsi="Constantia"/>
          <w:noProof/>
          <w:sz w:val="24"/>
          <w:szCs w:val="24"/>
          <w:lang w:val="sr-Latn-CS"/>
        </w:rPr>
        <w:t xml:space="preserve">U Vrbasu se beleži značajan procenat građana koji koriste bicikl kao transportno sredstvo, ali i u druge svrhe. </w:t>
      </w: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12. </w:t>
      </w:r>
      <w:r w:rsidRPr="00A81FAD">
        <w:rPr>
          <w:rFonts w:ascii="Constantia" w:hAnsi="Constantia" w:cs="Times New Roman"/>
          <w:b/>
          <w:noProof/>
          <w:sz w:val="24"/>
          <w:szCs w:val="24"/>
          <w:lang w:val="sr-Latn-CS"/>
        </w:rPr>
        <w:t>Korišćenje bicikla u Vrbasu</w:t>
      </w:r>
      <w:r w:rsidRPr="00A81FAD">
        <w:rPr>
          <w:rFonts w:ascii="Constantia" w:hAnsi="Constantia" w:cs="Times New Roman"/>
          <w:noProof/>
          <w:sz w:val="24"/>
          <w:szCs w:val="24"/>
          <w:lang w:val="sr-Latn-CS"/>
        </w:rPr>
        <w:t xml:space="preserve"> (%)</w:t>
      </w:r>
    </w:p>
    <w:p w:rsidR="00596814" w:rsidRPr="00A81FAD" w:rsidRDefault="00596814" w:rsidP="006F625B">
      <w:pPr>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5410200" cy="2200275"/>
            <wp:effectExtent l="0" t="0" r="0"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6814" w:rsidRPr="00A81FAD" w:rsidRDefault="00596814" w:rsidP="00596814">
      <w:pPr>
        <w:pStyle w:val="ListParagraph"/>
        <w:numPr>
          <w:ilvl w:val="0"/>
          <w:numId w:val="16"/>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Preko dve trećine ispitanika u Vrbasu poseduje bicikl u svom domaćinstvu koristeći ga u različite svrhe. Za zabavu i </w:t>
      </w:r>
      <w:r w:rsidR="006F625B">
        <w:rPr>
          <w:rFonts w:ascii="Constantia" w:hAnsi="Constantia" w:cs="Times New Roman"/>
          <w:noProof/>
          <w:sz w:val="24"/>
          <w:szCs w:val="24"/>
          <w:lang w:val="sr-Latn-CS"/>
        </w:rPr>
        <w:t>rekreaciju, bicikl koristi</w:t>
      </w:r>
      <w:r w:rsidRPr="00A81FAD">
        <w:rPr>
          <w:rFonts w:ascii="Constantia" w:hAnsi="Constantia" w:cs="Times New Roman"/>
          <w:noProof/>
          <w:sz w:val="24"/>
          <w:szCs w:val="24"/>
          <w:lang w:val="sr-Latn-CS"/>
        </w:rPr>
        <w:t xml:space="preserve"> svega 3% ispitanika, dok 22% njih navodi da sopstveni bicikl povremeno koristi i kao prevozno sredstvo.</w:t>
      </w:r>
    </w:p>
    <w:p w:rsidR="00596814" w:rsidRDefault="00596814" w:rsidP="00596814">
      <w:pPr>
        <w:pStyle w:val="ListParagraph"/>
        <w:numPr>
          <w:ilvl w:val="0"/>
          <w:numId w:val="16"/>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Nešto manje od jedne trećine ispitanika (30%) nema i ne koristi bicikl, dok 45% poseduje bicikl pri čemu ga redovno koristi za transport. </w:t>
      </w:r>
    </w:p>
    <w:p w:rsidR="00C467C5" w:rsidRDefault="00C467C5" w:rsidP="00C467C5">
      <w:pPr>
        <w:pStyle w:val="ListParagraph"/>
        <w:jc w:val="both"/>
        <w:rPr>
          <w:rFonts w:ascii="Constantia" w:hAnsi="Constantia" w:cs="Times New Roman"/>
          <w:noProof/>
          <w:sz w:val="24"/>
          <w:szCs w:val="24"/>
          <w:lang w:val="sr-Latn-CS"/>
        </w:rPr>
      </w:pPr>
    </w:p>
    <w:p w:rsidR="00C467C5" w:rsidRPr="00A81FAD" w:rsidRDefault="00C467C5" w:rsidP="00C467C5">
      <w:pPr>
        <w:pStyle w:val="ListParagraph"/>
        <w:jc w:val="both"/>
        <w:rPr>
          <w:rFonts w:ascii="Constantia" w:hAnsi="Constantia" w:cs="Times New Roman"/>
          <w:noProof/>
          <w:sz w:val="24"/>
          <w:szCs w:val="24"/>
          <w:lang w:val="sr-Latn-CS"/>
        </w:rPr>
      </w:pPr>
    </w:p>
    <w:p w:rsidR="00596814" w:rsidRPr="00A81FAD" w:rsidRDefault="00596814" w:rsidP="00596814">
      <w:pPr>
        <w:jc w:val="both"/>
        <w:rPr>
          <w:rFonts w:ascii="Constantia" w:hAnsi="Constantia" w:cs="Times New Roman"/>
          <w:b/>
          <w:noProof/>
          <w:sz w:val="24"/>
          <w:szCs w:val="24"/>
          <w:lang w:val="sr-Latn-CS"/>
        </w:rPr>
      </w:pPr>
      <w:r w:rsidRPr="00A81FAD">
        <w:rPr>
          <w:rFonts w:ascii="Constantia" w:hAnsi="Constantia" w:cs="Times New Roman"/>
          <w:noProof/>
          <w:sz w:val="24"/>
          <w:szCs w:val="24"/>
          <w:lang w:val="sr-Latn-CS"/>
        </w:rPr>
        <w:t xml:space="preserve">Grafikon 13. </w:t>
      </w:r>
      <w:r w:rsidRPr="00A81FAD">
        <w:rPr>
          <w:rFonts w:ascii="Constantia" w:hAnsi="Constantia" w:cs="Times New Roman"/>
          <w:b/>
          <w:noProof/>
          <w:sz w:val="24"/>
          <w:szCs w:val="24"/>
          <w:lang w:val="sr-Latn-CS"/>
        </w:rPr>
        <w:t>Motivacija za povećano korišćenje bicikla</w:t>
      </w:r>
    </w:p>
    <w:p w:rsidR="00596814" w:rsidRPr="00A81FAD" w:rsidRDefault="00596814" w:rsidP="006F625B">
      <w:pPr>
        <w:jc w:val="center"/>
        <w:rPr>
          <w:rFonts w:ascii="Constantia" w:hAnsi="Constantia" w:cs="Times New Roman"/>
          <w:b/>
          <w:noProof/>
          <w:sz w:val="24"/>
          <w:szCs w:val="24"/>
          <w:lang w:val="sr-Latn-CS"/>
        </w:rPr>
      </w:pPr>
      <w:r w:rsidRPr="00A81FAD">
        <w:rPr>
          <w:rFonts w:ascii="Constantia" w:hAnsi="Constantia" w:cs="Times New Roman"/>
          <w:b/>
          <w:noProof/>
          <w:sz w:val="24"/>
          <w:szCs w:val="24"/>
        </w:rPr>
        <w:drawing>
          <wp:inline distT="0" distB="0" distL="0" distR="0">
            <wp:extent cx="6257925" cy="2428875"/>
            <wp:effectExtent l="19050" t="0" r="0"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6814" w:rsidRPr="00A81FAD" w:rsidRDefault="00596814" w:rsidP="00596814">
      <w:pPr>
        <w:pStyle w:val="ListParagraph"/>
        <w:numPr>
          <w:ilvl w:val="0"/>
          <w:numId w:val="17"/>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Kroz navedene tvrdnje pokušali smo da ustanovimo na koji način bismo mogli da motivišemo građane Vrbasa o aktivnijoj upotrebi bicikla kao prevoznog sredstva. </w:t>
      </w:r>
    </w:p>
    <w:p w:rsidR="00596814" w:rsidRPr="00A81FAD" w:rsidRDefault="00596814" w:rsidP="00596814">
      <w:pPr>
        <w:pStyle w:val="ListParagraph"/>
        <w:numPr>
          <w:ilvl w:val="0"/>
          <w:numId w:val="17"/>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Svaki četvrti ispitanik Vrbasa smatra da ga nijedno poboljšanje radi povećanja broja bicikala u transportu neće motivisati da koristi bicikl. Po pitanju svakog oblika motivacije, 25% ispitanika odgovara da ne želi uopšte da koristi bicikl. </w:t>
      </w:r>
    </w:p>
    <w:p w:rsidR="00596814" w:rsidRPr="00A81FAD" w:rsidRDefault="00596814" w:rsidP="00596814">
      <w:pPr>
        <w:pStyle w:val="ListParagraph"/>
        <w:numPr>
          <w:ilvl w:val="0"/>
          <w:numId w:val="17"/>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Ipak, značajan broj građana smatra da bi se broj biciklista povećao u gradu ukoliko bi se povećao broj biciklističkih staza i ukoliko bi se povećala bezbednost biciklista u saobraćaju. Obezbeđivanje parking mesta za bicikliste bi takođe u značajnoj meri moglo da doprinese povećanju broja bicikala kao prevoznog sredstva. </w:t>
      </w:r>
    </w:p>
    <w:p w:rsidR="00596814" w:rsidRDefault="00596814" w:rsidP="00596814">
      <w:pPr>
        <w:ind w:left="360"/>
        <w:jc w:val="both"/>
        <w:rPr>
          <w:rFonts w:ascii="Constantia" w:hAnsi="Constantia" w:cs="Times New Roman"/>
          <w:noProof/>
          <w:sz w:val="24"/>
          <w:szCs w:val="24"/>
          <w:lang w:val="sr-Latn-CS"/>
        </w:rPr>
      </w:pPr>
    </w:p>
    <w:p w:rsidR="00C467C5" w:rsidRPr="00A81FAD" w:rsidRDefault="00C467C5" w:rsidP="00596814">
      <w:pPr>
        <w:ind w:left="360"/>
        <w:jc w:val="both"/>
        <w:rPr>
          <w:rFonts w:ascii="Constantia" w:hAnsi="Constantia" w:cs="Times New Roman"/>
          <w:noProof/>
          <w:sz w:val="24"/>
          <w:szCs w:val="24"/>
          <w:lang w:val="sr-Latn-CS"/>
        </w:rPr>
      </w:pPr>
    </w:p>
    <w:p w:rsidR="00596814" w:rsidRPr="00DB33C7" w:rsidRDefault="006F625B" w:rsidP="006F625B">
      <w:pPr>
        <w:jc w:val="both"/>
        <w:rPr>
          <w:rFonts w:ascii="Constantia" w:hAnsi="Constantia" w:cs="Times New Roman"/>
          <w:b/>
          <w:noProof/>
          <w:sz w:val="36"/>
          <w:szCs w:val="36"/>
          <w:lang w:val="sr-Latn-CS"/>
        </w:rPr>
      </w:pPr>
      <w:r w:rsidRPr="00DB33C7">
        <w:rPr>
          <w:rFonts w:ascii="Constantia" w:hAnsi="Constantia" w:cs="Times New Roman"/>
          <w:b/>
          <w:noProof/>
          <w:sz w:val="36"/>
          <w:szCs w:val="36"/>
          <w:lang w:val="sr-Latn-CS"/>
        </w:rPr>
        <w:t xml:space="preserve">5. </w:t>
      </w:r>
      <w:r w:rsidR="00596814" w:rsidRPr="00DB33C7">
        <w:rPr>
          <w:rFonts w:ascii="Constantia" w:hAnsi="Constantia" w:cs="Times New Roman"/>
          <w:b/>
          <w:noProof/>
          <w:sz w:val="36"/>
          <w:szCs w:val="36"/>
          <w:lang w:val="sr-Latn-CS"/>
        </w:rPr>
        <w:t>Posedovanje prevoznog sredstva</w:t>
      </w:r>
    </w:p>
    <w:p w:rsidR="00596814" w:rsidRPr="00A81FAD" w:rsidRDefault="00596814" w:rsidP="00596814">
      <w:pPr>
        <w:jc w:val="both"/>
        <w:rPr>
          <w:rFonts w:ascii="Constantia" w:hAnsi="Constantia" w:cs="Times New Roman"/>
          <w:noProof/>
          <w:sz w:val="24"/>
          <w:szCs w:val="24"/>
          <w:lang w:val="sr-Latn-CS"/>
        </w:rPr>
      </w:pP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14. </w:t>
      </w:r>
      <w:r w:rsidRPr="00A81FAD">
        <w:rPr>
          <w:rFonts w:ascii="Constantia" w:hAnsi="Constantia" w:cs="Times New Roman"/>
          <w:b/>
          <w:noProof/>
          <w:sz w:val="24"/>
          <w:szCs w:val="24"/>
          <w:lang w:val="sr-Latn-CS"/>
        </w:rPr>
        <w:t>Posedovanje motornih vozila</w:t>
      </w:r>
      <w:r w:rsidRPr="00A81FAD">
        <w:rPr>
          <w:rFonts w:ascii="Constantia" w:hAnsi="Constantia" w:cs="Times New Roman"/>
          <w:noProof/>
          <w:sz w:val="24"/>
          <w:szCs w:val="24"/>
          <w:lang w:val="sr-Latn-CS"/>
        </w:rPr>
        <w:t xml:space="preserve"> (%)</w:t>
      </w:r>
    </w:p>
    <w:p w:rsidR="00596814" w:rsidRPr="00A81FAD" w:rsidRDefault="00596814" w:rsidP="006F625B">
      <w:pPr>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5629275" cy="1743075"/>
            <wp:effectExtent l="0" t="0" r="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625B" w:rsidRPr="00C467C5" w:rsidRDefault="00596814" w:rsidP="00596814">
      <w:pPr>
        <w:pStyle w:val="ListParagraph"/>
        <w:numPr>
          <w:ilvl w:val="0"/>
          <w:numId w:val="1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Kada smo ispitivali građane Vrbasa o posedovanju motornih vozila, preko polovine ispitanika je odgovorilo da poseduje jedan automobil (52%). Ni svaki deseti ispitanik (8%) u Vrbasu ne poseduje motocikl kao prevozno sredstvo, dok svega 4% odnosno 1% ispitanika poseduje drugi automobil, odnosno lako dostavno vozilo.</w:t>
      </w: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15. </w:t>
      </w:r>
      <w:r w:rsidRPr="00A81FAD">
        <w:rPr>
          <w:rFonts w:ascii="Constantia" w:hAnsi="Constantia" w:cs="Times New Roman"/>
          <w:b/>
          <w:noProof/>
          <w:sz w:val="24"/>
          <w:szCs w:val="24"/>
          <w:lang w:val="sr-Latn-CS"/>
        </w:rPr>
        <w:t xml:space="preserve">Mesečno pređena kilometraža </w:t>
      </w:r>
      <w:r w:rsidRPr="00A81FAD">
        <w:rPr>
          <w:rFonts w:ascii="Constantia" w:hAnsi="Constantia" w:cs="Times New Roman"/>
          <w:noProof/>
          <w:sz w:val="24"/>
          <w:szCs w:val="24"/>
          <w:lang w:val="sr-Latn-CS"/>
        </w:rPr>
        <w:t>(%)</w:t>
      </w:r>
    </w:p>
    <w:p w:rsidR="00596814" w:rsidRDefault="00596814" w:rsidP="006F625B">
      <w:pPr>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5719313" cy="992038"/>
            <wp:effectExtent l="0" t="0" r="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67C5" w:rsidRPr="00A81FAD" w:rsidRDefault="00C467C5" w:rsidP="006F625B">
      <w:pPr>
        <w:jc w:val="center"/>
        <w:rPr>
          <w:rFonts w:ascii="Constantia" w:hAnsi="Constantia" w:cs="Times New Roman"/>
          <w:noProof/>
          <w:sz w:val="24"/>
          <w:szCs w:val="24"/>
          <w:lang w:val="sr-Latn-CS"/>
        </w:rPr>
      </w:pPr>
    </w:p>
    <w:p w:rsidR="00596814" w:rsidRPr="00A81FAD" w:rsidRDefault="00596814" w:rsidP="00596814">
      <w:pPr>
        <w:pStyle w:val="ListParagraph"/>
        <w:numPr>
          <w:ilvl w:val="0"/>
          <w:numId w:val="1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Nakon što smo ispitanicima Vrbasa naglasili da bi trebalo uzeti u obzir posedovanje svih prevoznih sredstava u domaćinstvu, zamolili smo ih da procene koliko iznosi pređena kilometraža na mesečnom nivou svih vozila. </w:t>
      </w:r>
    </w:p>
    <w:p w:rsidR="00596814" w:rsidRPr="00A81FAD" w:rsidRDefault="00596814" w:rsidP="00596814">
      <w:pPr>
        <w:pStyle w:val="ListParagraph"/>
        <w:numPr>
          <w:ilvl w:val="0"/>
          <w:numId w:val="1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Kako bi jasnije prikazali dobijene podatke, najpre smo odgovore grupisali u pet kategorija, zavisno od količine pređenih kilometara. </w:t>
      </w:r>
    </w:p>
    <w:p w:rsidR="00596814" w:rsidRPr="00A81FAD" w:rsidRDefault="00596814" w:rsidP="00596814">
      <w:pPr>
        <w:pStyle w:val="ListParagraph"/>
        <w:numPr>
          <w:ilvl w:val="0"/>
          <w:numId w:val="1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Oko trećine građana u Vrbasu, u sopstvenim transportnim sredstvima pređe do 150 kilometara mesečno, dok 22% ispitanika prelazi do 400 kilometara, odnosno 21% prelazi do 800 kilometara mesečno. </w:t>
      </w:r>
    </w:p>
    <w:p w:rsidR="006F625B" w:rsidRPr="00C467C5" w:rsidRDefault="00596814" w:rsidP="00596814">
      <w:pPr>
        <w:pStyle w:val="ListParagraph"/>
        <w:numPr>
          <w:ilvl w:val="0"/>
          <w:numId w:val="18"/>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Svaki deseti ispitanik pređe preko 1200 kilometara mesečno sa sopstvenim vozilima. </w:t>
      </w: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16. </w:t>
      </w:r>
      <w:r w:rsidRPr="00A81FAD">
        <w:rPr>
          <w:rFonts w:ascii="Constantia" w:hAnsi="Constantia" w:cs="Times New Roman"/>
          <w:b/>
          <w:noProof/>
          <w:sz w:val="24"/>
          <w:szCs w:val="24"/>
          <w:lang w:val="sr-Latn-CS"/>
        </w:rPr>
        <w:t xml:space="preserve">Mesečna potrošnja novca na gorivo </w:t>
      </w:r>
      <w:r w:rsidRPr="00A81FAD">
        <w:rPr>
          <w:rFonts w:ascii="Constantia" w:hAnsi="Constantia" w:cs="Times New Roman"/>
          <w:noProof/>
          <w:sz w:val="24"/>
          <w:szCs w:val="24"/>
          <w:lang w:val="sr-Latn-CS"/>
        </w:rPr>
        <w:t>(%)</w:t>
      </w:r>
    </w:p>
    <w:p w:rsidR="00596814" w:rsidRPr="00A81FAD" w:rsidRDefault="00596814" w:rsidP="006F625B">
      <w:pPr>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5905500" cy="1847850"/>
            <wp:effectExtent l="0" t="0" r="0" b="0"/>
            <wp:docPr id="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6814" w:rsidRPr="00A81FAD" w:rsidRDefault="00596814" w:rsidP="00596814">
      <w:pPr>
        <w:pStyle w:val="ListParagraph"/>
        <w:numPr>
          <w:ilvl w:val="0"/>
          <w:numId w:val="19"/>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Imajući u vidu sva prevozna sredstva koja poseduje jedno domaćinstvo, najveći procenat ispitanika Vrbasa troši između 3000 i 6000 dinara mesečno. </w:t>
      </w:r>
    </w:p>
    <w:p w:rsidR="006F625B" w:rsidRDefault="00596814" w:rsidP="00596814">
      <w:pPr>
        <w:pStyle w:val="ListParagraph"/>
        <w:numPr>
          <w:ilvl w:val="0"/>
          <w:numId w:val="19"/>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Svaki četvrti ispitanik procenjuje da mesečno potroši na gorivo između 1500 i 3000 dinara, dok čak 17% građana Vrbasa smatra da mesečno za gorivo izdvaja i preko 9000 dinara. </w:t>
      </w:r>
    </w:p>
    <w:p w:rsidR="00C467C5" w:rsidRDefault="00C467C5" w:rsidP="00C467C5">
      <w:pPr>
        <w:pStyle w:val="ListParagraph"/>
        <w:jc w:val="both"/>
        <w:rPr>
          <w:rFonts w:ascii="Constantia" w:hAnsi="Constantia" w:cs="Times New Roman"/>
          <w:noProof/>
          <w:sz w:val="24"/>
          <w:szCs w:val="24"/>
          <w:lang w:val="sr-Latn-CS"/>
        </w:rPr>
      </w:pPr>
    </w:p>
    <w:p w:rsidR="00C467C5" w:rsidRPr="00C467C5" w:rsidRDefault="00C467C5" w:rsidP="00C467C5">
      <w:pPr>
        <w:pStyle w:val="ListParagraph"/>
        <w:jc w:val="both"/>
        <w:rPr>
          <w:rFonts w:ascii="Constantia" w:hAnsi="Constantia" w:cs="Times New Roman"/>
          <w:noProof/>
          <w:sz w:val="24"/>
          <w:szCs w:val="24"/>
          <w:lang w:val="sr-Latn-CS"/>
        </w:rPr>
      </w:pPr>
    </w:p>
    <w:p w:rsidR="00596814" w:rsidRPr="00A81FAD" w:rsidRDefault="00596814" w:rsidP="00596814">
      <w:p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Grafikon 17. </w:t>
      </w:r>
      <w:r w:rsidRPr="00A81FAD">
        <w:rPr>
          <w:rFonts w:ascii="Constantia" w:hAnsi="Constantia" w:cs="Times New Roman"/>
          <w:b/>
          <w:noProof/>
          <w:sz w:val="24"/>
          <w:szCs w:val="24"/>
          <w:lang w:val="sr-Latn-CS"/>
        </w:rPr>
        <w:t>Korišćenje lokalnog prevoza</w:t>
      </w:r>
      <w:r w:rsidRPr="00A81FAD">
        <w:rPr>
          <w:rFonts w:ascii="Constantia" w:hAnsi="Constantia" w:cs="Times New Roman"/>
          <w:noProof/>
          <w:sz w:val="24"/>
          <w:szCs w:val="24"/>
          <w:lang w:val="sr-Latn-CS"/>
        </w:rPr>
        <w:t xml:space="preserve"> (%)</w:t>
      </w:r>
    </w:p>
    <w:p w:rsidR="00596814" w:rsidRPr="00A81FAD" w:rsidRDefault="00596814" w:rsidP="006F625B">
      <w:pPr>
        <w:jc w:val="center"/>
        <w:rPr>
          <w:rFonts w:ascii="Constantia" w:hAnsi="Constantia" w:cs="Times New Roman"/>
          <w:noProof/>
          <w:sz w:val="24"/>
          <w:szCs w:val="24"/>
          <w:lang w:val="sr-Latn-CS"/>
        </w:rPr>
      </w:pPr>
      <w:r w:rsidRPr="00A81FAD">
        <w:rPr>
          <w:rFonts w:ascii="Constantia" w:hAnsi="Constantia" w:cs="Times New Roman"/>
          <w:noProof/>
          <w:sz w:val="24"/>
          <w:szCs w:val="24"/>
        </w:rPr>
        <w:drawing>
          <wp:inline distT="0" distB="0" distL="0" distR="0">
            <wp:extent cx="5736566" cy="1578634"/>
            <wp:effectExtent l="0" t="0" r="0" b="0"/>
            <wp:docPr id="1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96814" w:rsidRPr="00A81FAD" w:rsidRDefault="006F625B" w:rsidP="00596814">
      <w:pPr>
        <w:pStyle w:val="ListParagraph"/>
        <w:numPr>
          <w:ilvl w:val="0"/>
          <w:numId w:val="20"/>
        </w:numPr>
        <w:jc w:val="both"/>
        <w:rPr>
          <w:rFonts w:ascii="Constantia" w:hAnsi="Constantia" w:cs="Times New Roman"/>
          <w:noProof/>
          <w:sz w:val="24"/>
          <w:szCs w:val="24"/>
          <w:lang w:val="sr-Latn-CS"/>
        </w:rPr>
      </w:pPr>
      <w:r>
        <w:rPr>
          <w:rFonts w:ascii="Constantia" w:hAnsi="Constantia" w:cs="Times New Roman"/>
          <w:noProof/>
          <w:sz w:val="24"/>
          <w:szCs w:val="24"/>
          <w:lang w:val="sr-Latn-CS"/>
        </w:rPr>
        <w:t>Veoma</w:t>
      </w:r>
      <w:r w:rsidR="00596814" w:rsidRPr="00A81FAD">
        <w:rPr>
          <w:rFonts w:ascii="Constantia" w:hAnsi="Constantia" w:cs="Times New Roman"/>
          <w:noProof/>
          <w:sz w:val="24"/>
          <w:szCs w:val="24"/>
          <w:lang w:val="sr-Latn-CS"/>
        </w:rPr>
        <w:t xml:space="preserve"> mali procenat građana Vrbasa koristi lokalni prevoz u njihovom gradu. Nešto manje od četvrtine ispitanika koristi gradski, prigradski ili oba prevoza, dok 77% ispitanih građana uopšte ne koristi lokalni prevoz.</w:t>
      </w:r>
    </w:p>
    <w:p w:rsidR="00596814" w:rsidRPr="00A81FAD" w:rsidRDefault="00596814" w:rsidP="00596814">
      <w:pPr>
        <w:pStyle w:val="ListParagraph"/>
        <w:numPr>
          <w:ilvl w:val="0"/>
          <w:numId w:val="20"/>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S obzirom </w:t>
      </w:r>
      <w:r w:rsidR="006F625B">
        <w:rPr>
          <w:rFonts w:ascii="Constantia" w:hAnsi="Constantia" w:cs="Times New Roman"/>
          <w:noProof/>
          <w:sz w:val="24"/>
          <w:szCs w:val="24"/>
          <w:lang w:val="sr-Latn-CS"/>
        </w:rPr>
        <w:t xml:space="preserve">na to </w:t>
      </w:r>
      <w:r w:rsidRPr="00A81FAD">
        <w:rPr>
          <w:rFonts w:ascii="Constantia" w:hAnsi="Constantia" w:cs="Times New Roman"/>
          <w:noProof/>
          <w:sz w:val="24"/>
          <w:szCs w:val="24"/>
          <w:lang w:val="sr-Latn-CS"/>
        </w:rPr>
        <w:t xml:space="preserve">da građani Vrbasa slabo koriste lokalni prevoz, ispitanici nisu mogli najbolje da procene koliko eventualno u proseku kilometara mesečno pređu koristeći gradski odnosno prigradski prevoz. </w:t>
      </w:r>
    </w:p>
    <w:p w:rsidR="00596814" w:rsidRDefault="00596814" w:rsidP="00997B9D">
      <w:pPr>
        <w:pStyle w:val="ListParagraph"/>
        <w:numPr>
          <w:ilvl w:val="0"/>
          <w:numId w:val="20"/>
        </w:numPr>
        <w:jc w:val="both"/>
        <w:rPr>
          <w:rFonts w:ascii="Constantia" w:hAnsi="Constantia" w:cs="Times New Roman"/>
          <w:noProof/>
          <w:sz w:val="24"/>
          <w:szCs w:val="24"/>
          <w:lang w:val="sr-Latn-CS"/>
        </w:rPr>
      </w:pPr>
      <w:r w:rsidRPr="00A81FAD">
        <w:rPr>
          <w:rFonts w:ascii="Constantia" w:hAnsi="Constantia" w:cs="Times New Roman"/>
          <w:noProof/>
          <w:sz w:val="24"/>
          <w:szCs w:val="24"/>
          <w:lang w:val="sr-Latn-CS"/>
        </w:rPr>
        <w:t xml:space="preserve">Putem linija koje povezuju grad i sela na teritoriji opštine, stanovnik Vrbasa mesečno pređe oko 25 kilometara, međutim, jako visok procenat je onih ispitanika koji tvrde da ne mogu da ocene koliko mesečno pređu i onih koji tvrde da ne koriste prigradski prevoz (88%).   </w:t>
      </w:r>
    </w:p>
    <w:p w:rsidR="00ED388C" w:rsidRPr="00ED388C" w:rsidRDefault="00ED388C" w:rsidP="00ED388C">
      <w:pPr>
        <w:pStyle w:val="ListParagraph"/>
        <w:jc w:val="both"/>
        <w:rPr>
          <w:rFonts w:ascii="Constantia" w:hAnsi="Constantia" w:cs="Times New Roman"/>
          <w:noProof/>
          <w:sz w:val="24"/>
          <w:szCs w:val="24"/>
          <w:lang w:val="sr-Latn-CS"/>
        </w:rPr>
      </w:pPr>
    </w:p>
    <w:p w:rsidR="00564775" w:rsidRPr="009E4748" w:rsidRDefault="00564775" w:rsidP="00ED388C">
      <w:pPr>
        <w:pBdr>
          <w:top w:val="single" w:sz="4" w:space="1" w:color="auto"/>
          <w:left w:val="single" w:sz="4" w:space="4" w:color="auto"/>
          <w:bottom w:val="single" w:sz="4" w:space="1" w:color="auto"/>
          <w:right w:val="single" w:sz="4" w:space="4" w:color="auto"/>
        </w:pBdr>
        <w:jc w:val="both"/>
        <w:rPr>
          <w:rFonts w:ascii="Constantia" w:hAnsi="Constantia"/>
          <w:noProof/>
          <w:sz w:val="24"/>
          <w:szCs w:val="24"/>
          <w:lang w:val="sr-Latn-CS"/>
        </w:rPr>
      </w:pPr>
      <w:r w:rsidRPr="009E4748">
        <w:rPr>
          <w:rFonts w:ascii="Constantia" w:hAnsi="Constantia"/>
          <w:noProof/>
          <w:sz w:val="24"/>
          <w:szCs w:val="24"/>
          <w:lang w:val="sr-Latn-CS"/>
        </w:rPr>
        <w:t>EU disclaimer: This report has been produced with the assistance of the European Union. The contents of this report are the sole responsibility of CeSID, and can in no way be taken to reflect the views of the European Union.</w:t>
      </w:r>
    </w:p>
    <w:p w:rsidR="00564775" w:rsidRPr="009E4748" w:rsidRDefault="00564775" w:rsidP="00ED388C">
      <w:pPr>
        <w:pBdr>
          <w:top w:val="single" w:sz="4" w:space="1" w:color="auto"/>
          <w:left w:val="single" w:sz="4" w:space="4" w:color="auto"/>
          <w:bottom w:val="single" w:sz="4" w:space="1" w:color="auto"/>
          <w:right w:val="single" w:sz="4" w:space="4" w:color="auto"/>
        </w:pBdr>
        <w:jc w:val="both"/>
        <w:rPr>
          <w:rFonts w:ascii="Constantia" w:hAnsi="Constantia"/>
          <w:noProof/>
          <w:sz w:val="24"/>
          <w:szCs w:val="24"/>
          <w:lang w:val="sr-Latn-CS"/>
        </w:rPr>
      </w:pPr>
      <w:r w:rsidRPr="009E4748">
        <w:rPr>
          <w:rFonts w:ascii="Constantia" w:hAnsi="Constantia"/>
          <w:noProof/>
          <w:sz w:val="24"/>
          <w:szCs w:val="24"/>
          <w:lang w:val="sr-Latn-CS"/>
        </w:rPr>
        <w:t xml:space="preserve">EU obaveštenje: </w:t>
      </w:r>
      <w:r w:rsidR="00997B9D" w:rsidRPr="009E4748">
        <w:rPr>
          <w:rFonts w:ascii="Constantia" w:hAnsi="Constantia"/>
          <w:noProof/>
          <w:sz w:val="24"/>
          <w:szCs w:val="24"/>
          <w:lang w:val="sr-Latn-CS"/>
        </w:rPr>
        <w:t>Stvaranje ovog izveštaja pomogla je Evropska unija. Sadržaj izveštaja je isključivo odgovornost CeSID-a i ne predstavlja stavove Evropske unije.</w:t>
      </w:r>
    </w:p>
    <w:sectPr w:rsidR="00564775" w:rsidRPr="009E4748" w:rsidSect="00C918C5">
      <w:headerReference w:type="default" r:id="rId25"/>
      <w:footerReference w:type="default" r:id="rId26"/>
      <w:pgSz w:w="15840" w:h="12240" w:orient="landscape"/>
      <w:pgMar w:top="1134" w:right="1417" w:bottom="1701"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49" w:rsidRDefault="00D71049" w:rsidP="00635A7F">
      <w:pPr>
        <w:spacing w:after="0" w:line="240" w:lineRule="auto"/>
      </w:pPr>
      <w:r>
        <w:separator/>
      </w:r>
    </w:p>
  </w:endnote>
  <w:endnote w:type="continuationSeparator" w:id="1">
    <w:p w:rsidR="00D71049" w:rsidRDefault="00D71049" w:rsidP="00635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8C5" w:rsidRPr="00C918C5" w:rsidRDefault="00C918C5" w:rsidP="00C918C5">
    <w:pPr>
      <w:pStyle w:val="Footer"/>
      <w:jc w:val="center"/>
      <w:rPr>
        <w:lang/>
      </w:rPr>
    </w:pPr>
    <w:r>
      <w:rPr>
        <w:lang/>
      </w:rPr>
      <w:t>Projekat finansira Evropska unija u okviru projekta „Podrška civilnom društvu“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49" w:rsidRDefault="00D71049" w:rsidP="00635A7F">
      <w:pPr>
        <w:spacing w:after="0" w:line="240" w:lineRule="auto"/>
      </w:pPr>
      <w:r>
        <w:separator/>
      </w:r>
    </w:p>
  </w:footnote>
  <w:footnote w:type="continuationSeparator" w:id="1">
    <w:p w:rsidR="00D71049" w:rsidRDefault="00D71049" w:rsidP="00635A7F">
      <w:pPr>
        <w:spacing w:after="0" w:line="240" w:lineRule="auto"/>
      </w:pPr>
      <w:r>
        <w:continuationSeparator/>
      </w:r>
    </w:p>
  </w:footnote>
  <w:footnote w:id="2">
    <w:p w:rsidR="00E53663" w:rsidRPr="00FF0A8A" w:rsidRDefault="00E53663" w:rsidP="00FF0A8A">
      <w:pPr>
        <w:pStyle w:val="FootnoteText"/>
        <w:jc w:val="both"/>
        <w:rPr>
          <w:rFonts w:ascii="Constantia" w:hAnsi="Constantia"/>
          <w:noProof/>
          <w:lang w:val="sr-Latn-CS"/>
        </w:rPr>
      </w:pPr>
      <w:r w:rsidRPr="00FF0A8A">
        <w:rPr>
          <w:rStyle w:val="FootnoteReference"/>
          <w:rFonts w:ascii="Constantia" w:hAnsi="Constantia"/>
          <w:noProof/>
          <w:lang w:val="sr-Latn-CS"/>
        </w:rPr>
        <w:footnoteRef/>
      </w:r>
      <w:r w:rsidRPr="00FF0A8A">
        <w:rPr>
          <w:rFonts w:ascii="Constantia" w:hAnsi="Constantia"/>
          <w:noProof/>
          <w:lang w:val="sr-Latn-CS"/>
        </w:rPr>
        <w:t xml:space="preserve"> Kada je reč o daljinskom (centralnom) sistemu grejanja, potrošen novac na račune u toku grejne sezone zavisi u odnosu na cenu struje po kvadratu i kvadrature stana.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C3" w:rsidRPr="000540C3" w:rsidRDefault="00C918C5" w:rsidP="00C918C5">
    <w:pPr>
      <w:pStyle w:val="Header"/>
      <w:ind w:firstLine="720"/>
      <w:rPr>
        <w:rFonts w:ascii="Trebuchet MS" w:eastAsia="Calibri" w:hAnsi="Trebuchet MS" w:cs="Times New Roman"/>
        <w:color w:val="000000"/>
        <w:sz w:val="18"/>
        <w:szCs w:val="18"/>
        <w:lang w:val="sr-Latn-CS"/>
      </w:rPr>
    </w:pPr>
    <w:r>
      <w:rPr>
        <w:noProof/>
      </w:rPr>
      <w:drawing>
        <wp:anchor distT="0" distB="0" distL="114300" distR="114300" simplePos="0" relativeHeight="251660288" behindDoc="0" locked="0" layoutInCell="1" allowOverlap="1">
          <wp:simplePos x="0" y="0"/>
          <wp:positionH relativeFrom="column">
            <wp:posOffset>6598285</wp:posOffset>
          </wp:positionH>
          <wp:positionV relativeFrom="paragraph">
            <wp:posOffset>-168910</wp:posOffset>
          </wp:positionV>
          <wp:extent cx="1782445" cy="698500"/>
          <wp:effectExtent l="19050" t="0" r="8255" b="0"/>
          <wp:wrapSquare wrapText="bothSides"/>
          <wp:docPr id="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srcRect/>
                  <a:stretch>
                    <a:fillRect/>
                  </a:stretch>
                </pic:blipFill>
                <pic:spPr bwMode="auto">
                  <a:xfrm>
                    <a:off x="0" y="0"/>
                    <a:ext cx="1782445" cy="6985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-175260</wp:posOffset>
          </wp:positionH>
          <wp:positionV relativeFrom="paragraph">
            <wp:posOffset>-233045</wp:posOffset>
          </wp:positionV>
          <wp:extent cx="1138555" cy="701675"/>
          <wp:effectExtent l="19050" t="0" r="4445" b="0"/>
          <wp:wrapThrough wrapText="left">
            <wp:wrapPolygon edited="0">
              <wp:start x="-361" y="0"/>
              <wp:lineTo x="-361" y="21111"/>
              <wp:lineTo x="21684" y="21111"/>
              <wp:lineTo x="21684" y="0"/>
              <wp:lineTo x="-361" y="0"/>
            </wp:wrapPolygon>
          </wp:wrapThrough>
          <wp:docPr id="10" name="Picture 0" descr="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flag.jpg"/>
                  <pic:cNvPicPr>
                    <a:picLocks noChangeAspect="1" noChangeArrowheads="1"/>
                  </pic:cNvPicPr>
                </pic:nvPicPr>
                <pic:blipFill>
                  <a:blip r:embed="rId2"/>
                  <a:srcRect/>
                  <a:stretch>
                    <a:fillRect/>
                  </a:stretch>
                </pic:blipFill>
                <pic:spPr bwMode="auto">
                  <a:xfrm>
                    <a:off x="0" y="0"/>
                    <a:ext cx="1138555" cy="701675"/>
                  </a:xfrm>
                  <a:prstGeom prst="rect">
                    <a:avLst/>
                  </a:prstGeom>
                  <a:noFill/>
                  <a:ln w="9525">
                    <a:noFill/>
                    <a:miter lim="800000"/>
                    <a:headEnd/>
                    <a:tailEnd/>
                  </a:ln>
                </pic:spPr>
              </pic:pic>
            </a:graphicData>
          </a:graphic>
        </wp:anchor>
      </w:drawing>
    </w:r>
    <w:r w:rsidR="000540C3" w:rsidRPr="000540C3">
      <w:rPr>
        <w:lang w:val="sr-Latn-CS"/>
      </w:rPr>
      <w:t xml:space="preserve">                </w:t>
    </w:r>
  </w:p>
  <w:p w:rsidR="000540C3" w:rsidRPr="000540C3" w:rsidRDefault="000540C3" w:rsidP="000540C3">
    <w:pPr>
      <w:pStyle w:val="Header"/>
      <w:rPr>
        <w:rFonts w:ascii="Trebuchet MS" w:eastAsia="Calibri" w:hAnsi="Trebuchet MS" w:cs="Times New Roman"/>
        <w:color w:val="000000"/>
        <w:sz w:val="18"/>
        <w:szCs w:val="18"/>
        <w:lang w:val="sr-Latn-CS"/>
      </w:rPr>
    </w:pPr>
  </w:p>
  <w:p w:rsidR="000540C3" w:rsidRPr="000540C3" w:rsidRDefault="000540C3" w:rsidP="000540C3">
    <w:pPr>
      <w:pStyle w:val="Header"/>
      <w:rPr>
        <w:rFonts w:ascii="Trebuchet MS" w:eastAsia="Calibri" w:hAnsi="Trebuchet MS" w:cs="Times New Roman"/>
        <w:color w:val="000000"/>
        <w:sz w:val="18"/>
        <w:szCs w:val="18"/>
        <w:lang w:val="sr-Latn-CS"/>
      </w:rPr>
    </w:pPr>
    <w:r w:rsidRPr="000540C3">
      <w:rPr>
        <w:rFonts w:ascii="Trebuchet MS" w:eastAsia="Calibri" w:hAnsi="Trebuchet MS" w:cs="Times New Roman"/>
        <w:color w:val="000000"/>
        <w:sz w:val="18"/>
        <w:szCs w:val="18"/>
        <w:lang w:val="sr-Latn-CS"/>
      </w:rPr>
      <w:t xml:space="preserve"> </w:t>
    </w:r>
  </w:p>
  <w:p w:rsidR="000540C3" w:rsidRDefault="000540C3" w:rsidP="000540C3">
    <w:pPr>
      <w:pStyle w:val="Header"/>
      <w:rPr>
        <w:rFonts w:ascii="Trebuchet MS" w:eastAsia="Calibri" w:hAnsi="Trebuchet MS" w:cs="Times New Roman"/>
        <w:color w:val="000000"/>
        <w:sz w:val="18"/>
        <w:szCs w:val="18"/>
        <w:lang w:val="sr-Latn-CS"/>
      </w:rPr>
    </w:pPr>
    <w:r w:rsidRPr="000540C3">
      <w:rPr>
        <w:rFonts w:ascii="Trebuchet MS" w:eastAsia="Calibri" w:hAnsi="Trebuchet MS" w:cs="Times New Roman"/>
        <w:color w:val="000000"/>
        <w:sz w:val="18"/>
        <w:szCs w:val="18"/>
        <w:lang w:val="sr-Latn-CS"/>
      </w:rPr>
      <w:t xml:space="preserve">                          </w:t>
    </w:r>
  </w:p>
  <w:p w:rsidR="000540C3" w:rsidRPr="00C918C5" w:rsidRDefault="00C918C5" w:rsidP="00C918C5">
    <w:pPr>
      <w:pStyle w:val="Header"/>
      <w:rPr>
        <w:rFonts w:ascii="Trebuchet MS" w:eastAsia="Calibri" w:hAnsi="Trebuchet MS" w:cs="Times New Roman"/>
        <w:color w:val="000000"/>
        <w:sz w:val="18"/>
        <w:szCs w:val="18"/>
        <w:lang w:val="sr-Latn-CS"/>
      </w:rPr>
    </w:pPr>
    <w:r>
      <w:rPr>
        <w:rFonts w:ascii="Trebuchet MS" w:eastAsia="Calibri" w:hAnsi="Trebuchet MS" w:cs="Times New Roman"/>
        <w:color w:val="000000"/>
        <w:sz w:val="18"/>
        <w:szCs w:val="18"/>
        <w:lang w:val="sr-Latn-CS"/>
      </w:rPr>
      <w:t>Evropska unija</w:t>
    </w:r>
    <w:r w:rsidR="000540C3" w:rsidRPr="00C918C5">
      <w:rPr>
        <w:rFonts w:ascii="Trebuchet MS" w:eastAsia="Calibri" w:hAnsi="Trebuchet MS" w:cs="Times New Roman"/>
        <w:color w:val="000000"/>
        <w:sz w:val="18"/>
        <w:szCs w:val="18"/>
        <w:lang w:val="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3A5"/>
    <w:multiLevelType w:val="hybridMultilevel"/>
    <w:tmpl w:val="ABF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63CBF"/>
    <w:multiLevelType w:val="hybridMultilevel"/>
    <w:tmpl w:val="83E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FEB"/>
    <w:multiLevelType w:val="hybridMultilevel"/>
    <w:tmpl w:val="08B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563D2"/>
    <w:multiLevelType w:val="hybridMultilevel"/>
    <w:tmpl w:val="755001D6"/>
    <w:lvl w:ilvl="0" w:tplc="B09A9A28">
      <w:start w:val="1"/>
      <w:numFmt w:val="bullet"/>
      <w:lvlText w:val="•"/>
      <w:lvlJc w:val="left"/>
      <w:pPr>
        <w:tabs>
          <w:tab w:val="num" w:pos="720"/>
        </w:tabs>
        <w:ind w:left="720" w:hanging="360"/>
      </w:pPr>
      <w:rPr>
        <w:rFonts w:ascii="Times New Roman" w:hAnsi="Times New Roman" w:hint="default"/>
      </w:rPr>
    </w:lvl>
    <w:lvl w:ilvl="1" w:tplc="82E87876">
      <w:start w:val="1128"/>
      <w:numFmt w:val="bullet"/>
      <w:lvlText w:val="•"/>
      <w:lvlJc w:val="left"/>
      <w:pPr>
        <w:tabs>
          <w:tab w:val="num" w:pos="1440"/>
        </w:tabs>
        <w:ind w:left="1440" w:hanging="360"/>
      </w:pPr>
      <w:rPr>
        <w:rFonts w:ascii="Times New Roman" w:hAnsi="Times New Roman" w:hint="default"/>
      </w:rPr>
    </w:lvl>
    <w:lvl w:ilvl="2" w:tplc="E494B15E" w:tentative="1">
      <w:start w:val="1"/>
      <w:numFmt w:val="bullet"/>
      <w:lvlText w:val="•"/>
      <w:lvlJc w:val="left"/>
      <w:pPr>
        <w:tabs>
          <w:tab w:val="num" w:pos="2160"/>
        </w:tabs>
        <w:ind w:left="2160" w:hanging="360"/>
      </w:pPr>
      <w:rPr>
        <w:rFonts w:ascii="Times New Roman" w:hAnsi="Times New Roman" w:hint="default"/>
      </w:rPr>
    </w:lvl>
    <w:lvl w:ilvl="3" w:tplc="0AC4713A" w:tentative="1">
      <w:start w:val="1"/>
      <w:numFmt w:val="bullet"/>
      <w:lvlText w:val="•"/>
      <w:lvlJc w:val="left"/>
      <w:pPr>
        <w:tabs>
          <w:tab w:val="num" w:pos="2880"/>
        </w:tabs>
        <w:ind w:left="2880" w:hanging="360"/>
      </w:pPr>
      <w:rPr>
        <w:rFonts w:ascii="Times New Roman" w:hAnsi="Times New Roman" w:hint="default"/>
      </w:rPr>
    </w:lvl>
    <w:lvl w:ilvl="4" w:tplc="4866BF3A" w:tentative="1">
      <w:start w:val="1"/>
      <w:numFmt w:val="bullet"/>
      <w:lvlText w:val="•"/>
      <w:lvlJc w:val="left"/>
      <w:pPr>
        <w:tabs>
          <w:tab w:val="num" w:pos="3600"/>
        </w:tabs>
        <w:ind w:left="3600" w:hanging="360"/>
      </w:pPr>
      <w:rPr>
        <w:rFonts w:ascii="Times New Roman" w:hAnsi="Times New Roman" w:hint="default"/>
      </w:rPr>
    </w:lvl>
    <w:lvl w:ilvl="5" w:tplc="B2F28AC2" w:tentative="1">
      <w:start w:val="1"/>
      <w:numFmt w:val="bullet"/>
      <w:lvlText w:val="•"/>
      <w:lvlJc w:val="left"/>
      <w:pPr>
        <w:tabs>
          <w:tab w:val="num" w:pos="4320"/>
        </w:tabs>
        <w:ind w:left="4320" w:hanging="360"/>
      </w:pPr>
      <w:rPr>
        <w:rFonts w:ascii="Times New Roman" w:hAnsi="Times New Roman" w:hint="default"/>
      </w:rPr>
    </w:lvl>
    <w:lvl w:ilvl="6" w:tplc="B5A28984" w:tentative="1">
      <w:start w:val="1"/>
      <w:numFmt w:val="bullet"/>
      <w:lvlText w:val="•"/>
      <w:lvlJc w:val="left"/>
      <w:pPr>
        <w:tabs>
          <w:tab w:val="num" w:pos="5040"/>
        </w:tabs>
        <w:ind w:left="5040" w:hanging="360"/>
      </w:pPr>
      <w:rPr>
        <w:rFonts w:ascii="Times New Roman" w:hAnsi="Times New Roman" w:hint="default"/>
      </w:rPr>
    </w:lvl>
    <w:lvl w:ilvl="7" w:tplc="11C4E042" w:tentative="1">
      <w:start w:val="1"/>
      <w:numFmt w:val="bullet"/>
      <w:lvlText w:val="•"/>
      <w:lvlJc w:val="left"/>
      <w:pPr>
        <w:tabs>
          <w:tab w:val="num" w:pos="5760"/>
        </w:tabs>
        <w:ind w:left="5760" w:hanging="360"/>
      </w:pPr>
      <w:rPr>
        <w:rFonts w:ascii="Times New Roman" w:hAnsi="Times New Roman" w:hint="default"/>
      </w:rPr>
    </w:lvl>
    <w:lvl w:ilvl="8" w:tplc="C99041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E3BFA"/>
    <w:multiLevelType w:val="hybridMultilevel"/>
    <w:tmpl w:val="30048E8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73639BE"/>
    <w:multiLevelType w:val="hybridMultilevel"/>
    <w:tmpl w:val="FDD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31E27"/>
    <w:multiLevelType w:val="hybridMultilevel"/>
    <w:tmpl w:val="F094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700C9"/>
    <w:multiLevelType w:val="hybridMultilevel"/>
    <w:tmpl w:val="B81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341F6"/>
    <w:multiLevelType w:val="hybridMultilevel"/>
    <w:tmpl w:val="5988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C7026"/>
    <w:multiLevelType w:val="hybridMultilevel"/>
    <w:tmpl w:val="70C22DDC"/>
    <w:lvl w:ilvl="0" w:tplc="16A4D4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6E708A"/>
    <w:multiLevelType w:val="hybridMultilevel"/>
    <w:tmpl w:val="5B2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10F18"/>
    <w:multiLevelType w:val="hybridMultilevel"/>
    <w:tmpl w:val="6FC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71E5F"/>
    <w:multiLevelType w:val="hybridMultilevel"/>
    <w:tmpl w:val="087C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54816"/>
    <w:multiLevelType w:val="hybridMultilevel"/>
    <w:tmpl w:val="9C9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F1D48"/>
    <w:multiLevelType w:val="hybridMultilevel"/>
    <w:tmpl w:val="1D3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C1E4F"/>
    <w:multiLevelType w:val="hybridMultilevel"/>
    <w:tmpl w:val="E28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769B8"/>
    <w:multiLevelType w:val="hybridMultilevel"/>
    <w:tmpl w:val="5AB4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31612"/>
    <w:multiLevelType w:val="hybridMultilevel"/>
    <w:tmpl w:val="E5FE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204A3"/>
    <w:multiLevelType w:val="hybridMultilevel"/>
    <w:tmpl w:val="C532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B75CE"/>
    <w:multiLevelType w:val="hybridMultilevel"/>
    <w:tmpl w:val="7D1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2"/>
  </w:num>
  <w:num w:numId="5">
    <w:abstractNumId w:val="9"/>
  </w:num>
  <w:num w:numId="6">
    <w:abstractNumId w:val="5"/>
  </w:num>
  <w:num w:numId="7">
    <w:abstractNumId w:val="17"/>
  </w:num>
  <w:num w:numId="8">
    <w:abstractNumId w:val="15"/>
  </w:num>
  <w:num w:numId="9">
    <w:abstractNumId w:val="0"/>
  </w:num>
  <w:num w:numId="10">
    <w:abstractNumId w:val="11"/>
  </w:num>
  <w:num w:numId="11">
    <w:abstractNumId w:val="19"/>
  </w:num>
  <w:num w:numId="12">
    <w:abstractNumId w:val="18"/>
  </w:num>
  <w:num w:numId="13">
    <w:abstractNumId w:val="2"/>
  </w:num>
  <w:num w:numId="14">
    <w:abstractNumId w:val="14"/>
  </w:num>
  <w:num w:numId="15">
    <w:abstractNumId w:val="13"/>
  </w:num>
  <w:num w:numId="16">
    <w:abstractNumId w:val="16"/>
  </w:num>
  <w:num w:numId="17">
    <w:abstractNumId w:val="7"/>
  </w:num>
  <w:num w:numId="18">
    <w:abstractNumId w:val="1"/>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2800F0"/>
    <w:rsid w:val="00000179"/>
    <w:rsid w:val="00000704"/>
    <w:rsid w:val="00014C09"/>
    <w:rsid w:val="00022A68"/>
    <w:rsid w:val="0003290C"/>
    <w:rsid w:val="000352C7"/>
    <w:rsid w:val="0005031F"/>
    <w:rsid w:val="000540C3"/>
    <w:rsid w:val="0005556B"/>
    <w:rsid w:val="00057D49"/>
    <w:rsid w:val="0007154F"/>
    <w:rsid w:val="00074AB2"/>
    <w:rsid w:val="000900E2"/>
    <w:rsid w:val="00090DEB"/>
    <w:rsid w:val="00093364"/>
    <w:rsid w:val="000A026F"/>
    <w:rsid w:val="000A464E"/>
    <w:rsid w:val="000B2A7B"/>
    <w:rsid w:val="000B3114"/>
    <w:rsid w:val="000B650C"/>
    <w:rsid w:val="000C44EB"/>
    <w:rsid w:val="000C7C85"/>
    <w:rsid w:val="000D0FDF"/>
    <w:rsid w:val="000D1B61"/>
    <w:rsid w:val="000D3BB5"/>
    <w:rsid w:val="000D7107"/>
    <w:rsid w:val="000E7561"/>
    <w:rsid w:val="000F03C2"/>
    <w:rsid w:val="000F3DFE"/>
    <w:rsid w:val="000F4D78"/>
    <w:rsid w:val="000F5071"/>
    <w:rsid w:val="000F6BC5"/>
    <w:rsid w:val="000F7E84"/>
    <w:rsid w:val="001149EF"/>
    <w:rsid w:val="00124E05"/>
    <w:rsid w:val="00133F61"/>
    <w:rsid w:val="00142EA3"/>
    <w:rsid w:val="00151B2C"/>
    <w:rsid w:val="00154BF9"/>
    <w:rsid w:val="00156D0E"/>
    <w:rsid w:val="001637B1"/>
    <w:rsid w:val="00190E39"/>
    <w:rsid w:val="001A19E6"/>
    <w:rsid w:val="001A25B4"/>
    <w:rsid w:val="001C6615"/>
    <w:rsid w:val="001D76D6"/>
    <w:rsid w:val="001E1475"/>
    <w:rsid w:val="001E428C"/>
    <w:rsid w:val="001E67D0"/>
    <w:rsid w:val="001E725A"/>
    <w:rsid w:val="001F7E5C"/>
    <w:rsid w:val="002171D9"/>
    <w:rsid w:val="00217CDC"/>
    <w:rsid w:val="00233ED9"/>
    <w:rsid w:val="002374AD"/>
    <w:rsid w:val="0024087F"/>
    <w:rsid w:val="00242792"/>
    <w:rsid w:val="0024735A"/>
    <w:rsid w:val="0025125E"/>
    <w:rsid w:val="00252459"/>
    <w:rsid w:val="0025438D"/>
    <w:rsid w:val="00262480"/>
    <w:rsid w:val="00267B4A"/>
    <w:rsid w:val="00270FAD"/>
    <w:rsid w:val="00272A19"/>
    <w:rsid w:val="002800F0"/>
    <w:rsid w:val="00291FE9"/>
    <w:rsid w:val="0029435B"/>
    <w:rsid w:val="00296E36"/>
    <w:rsid w:val="00296E78"/>
    <w:rsid w:val="002A4DC1"/>
    <w:rsid w:val="002A5858"/>
    <w:rsid w:val="002B4456"/>
    <w:rsid w:val="002C1619"/>
    <w:rsid w:val="002C4B98"/>
    <w:rsid w:val="002D0FAF"/>
    <w:rsid w:val="002D1F0F"/>
    <w:rsid w:val="002D4EC0"/>
    <w:rsid w:val="002E56F4"/>
    <w:rsid w:val="002E7D14"/>
    <w:rsid w:val="00303C0E"/>
    <w:rsid w:val="003075BC"/>
    <w:rsid w:val="00310D44"/>
    <w:rsid w:val="003115AE"/>
    <w:rsid w:val="0031248C"/>
    <w:rsid w:val="003427C1"/>
    <w:rsid w:val="003501FE"/>
    <w:rsid w:val="003631E0"/>
    <w:rsid w:val="00365F70"/>
    <w:rsid w:val="00367DCB"/>
    <w:rsid w:val="003725EA"/>
    <w:rsid w:val="003731CB"/>
    <w:rsid w:val="00384221"/>
    <w:rsid w:val="003A7DD7"/>
    <w:rsid w:val="003B6BE0"/>
    <w:rsid w:val="003C12CC"/>
    <w:rsid w:val="003F076B"/>
    <w:rsid w:val="003F0959"/>
    <w:rsid w:val="003F508B"/>
    <w:rsid w:val="003F6E3D"/>
    <w:rsid w:val="00402D18"/>
    <w:rsid w:val="004069D3"/>
    <w:rsid w:val="00411B39"/>
    <w:rsid w:val="004205FF"/>
    <w:rsid w:val="0042494C"/>
    <w:rsid w:val="0043108F"/>
    <w:rsid w:val="00431AD7"/>
    <w:rsid w:val="00434C63"/>
    <w:rsid w:val="0043601E"/>
    <w:rsid w:val="00444781"/>
    <w:rsid w:val="00447941"/>
    <w:rsid w:val="00456F8D"/>
    <w:rsid w:val="00470F33"/>
    <w:rsid w:val="00476E5C"/>
    <w:rsid w:val="004830CA"/>
    <w:rsid w:val="0049368F"/>
    <w:rsid w:val="004A5482"/>
    <w:rsid w:val="004C65A2"/>
    <w:rsid w:val="004D1C46"/>
    <w:rsid w:val="004D5A67"/>
    <w:rsid w:val="004E3905"/>
    <w:rsid w:val="004F4C25"/>
    <w:rsid w:val="00505595"/>
    <w:rsid w:val="00516275"/>
    <w:rsid w:val="005205E3"/>
    <w:rsid w:val="00520BF2"/>
    <w:rsid w:val="00527CFF"/>
    <w:rsid w:val="0053021D"/>
    <w:rsid w:val="00533360"/>
    <w:rsid w:val="00537190"/>
    <w:rsid w:val="005407E3"/>
    <w:rsid w:val="00550C13"/>
    <w:rsid w:val="005515C9"/>
    <w:rsid w:val="00556876"/>
    <w:rsid w:val="00556C44"/>
    <w:rsid w:val="005570B2"/>
    <w:rsid w:val="005570E2"/>
    <w:rsid w:val="00557191"/>
    <w:rsid w:val="005613AB"/>
    <w:rsid w:val="005629D3"/>
    <w:rsid w:val="00564775"/>
    <w:rsid w:val="00564AB6"/>
    <w:rsid w:val="005652AF"/>
    <w:rsid w:val="0057381F"/>
    <w:rsid w:val="00587010"/>
    <w:rsid w:val="00591723"/>
    <w:rsid w:val="005931ED"/>
    <w:rsid w:val="00596814"/>
    <w:rsid w:val="00596CCE"/>
    <w:rsid w:val="005A5EBD"/>
    <w:rsid w:val="005B4A49"/>
    <w:rsid w:val="005B4E88"/>
    <w:rsid w:val="005B7BB4"/>
    <w:rsid w:val="005C0901"/>
    <w:rsid w:val="005C7DF0"/>
    <w:rsid w:val="005D3A37"/>
    <w:rsid w:val="005D48D9"/>
    <w:rsid w:val="005E604A"/>
    <w:rsid w:val="006016AC"/>
    <w:rsid w:val="00603825"/>
    <w:rsid w:val="00604D5C"/>
    <w:rsid w:val="00605F92"/>
    <w:rsid w:val="00610374"/>
    <w:rsid w:val="00622125"/>
    <w:rsid w:val="006239A8"/>
    <w:rsid w:val="00627E35"/>
    <w:rsid w:val="006310A4"/>
    <w:rsid w:val="006349C4"/>
    <w:rsid w:val="00635A7F"/>
    <w:rsid w:val="006433BD"/>
    <w:rsid w:val="006443E4"/>
    <w:rsid w:val="0064736D"/>
    <w:rsid w:val="00655052"/>
    <w:rsid w:val="006554D7"/>
    <w:rsid w:val="00673BF9"/>
    <w:rsid w:val="006772DD"/>
    <w:rsid w:val="006A14ED"/>
    <w:rsid w:val="006A7739"/>
    <w:rsid w:val="006C2222"/>
    <w:rsid w:val="006D3C29"/>
    <w:rsid w:val="006E4368"/>
    <w:rsid w:val="006F14B8"/>
    <w:rsid w:val="006F16C2"/>
    <w:rsid w:val="006F625B"/>
    <w:rsid w:val="006F62DB"/>
    <w:rsid w:val="00701F89"/>
    <w:rsid w:val="007022A8"/>
    <w:rsid w:val="00711B8B"/>
    <w:rsid w:val="00727D72"/>
    <w:rsid w:val="007374B1"/>
    <w:rsid w:val="00740922"/>
    <w:rsid w:val="0074274A"/>
    <w:rsid w:val="007456CB"/>
    <w:rsid w:val="00745C58"/>
    <w:rsid w:val="00746DF4"/>
    <w:rsid w:val="00757331"/>
    <w:rsid w:val="0076199F"/>
    <w:rsid w:val="00762B95"/>
    <w:rsid w:val="007636E7"/>
    <w:rsid w:val="00772A21"/>
    <w:rsid w:val="0078234C"/>
    <w:rsid w:val="00783096"/>
    <w:rsid w:val="00783D4A"/>
    <w:rsid w:val="00785C4E"/>
    <w:rsid w:val="00786F6C"/>
    <w:rsid w:val="00792D6A"/>
    <w:rsid w:val="0079575F"/>
    <w:rsid w:val="007975D2"/>
    <w:rsid w:val="007A4E56"/>
    <w:rsid w:val="007B5A08"/>
    <w:rsid w:val="007D069F"/>
    <w:rsid w:val="007E623A"/>
    <w:rsid w:val="007F044E"/>
    <w:rsid w:val="007F37AE"/>
    <w:rsid w:val="0080503C"/>
    <w:rsid w:val="00807CDA"/>
    <w:rsid w:val="0081349D"/>
    <w:rsid w:val="00814375"/>
    <w:rsid w:val="00824DC7"/>
    <w:rsid w:val="00840940"/>
    <w:rsid w:val="00843DBF"/>
    <w:rsid w:val="00850967"/>
    <w:rsid w:val="0086105D"/>
    <w:rsid w:val="00864DAD"/>
    <w:rsid w:val="00867A59"/>
    <w:rsid w:val="00881A34"/>
    <w:rsid w:val="00890990"/>
    <w:rsid w:val="008928E2"/>
    <w:rsid w:val="008973E6"/>
    <w:rsid w:val="008978F7"/>
    <w:rsid w:val="008B6109"/>
    <w:rsid w:val="008C1F23"/>
    <w:rsid w:val="008C5114"/>
    <w:rsid w:val="008D288C"/>
    <w:rsid w:val="008D385E"/>
    <w:rsid w:val="008E3310"/>
    <w:rsid w:val="008E38F9"/>
    <w:rsid w:val="008E75FA"/>
    <w:rsid w:val="008F20B9"/>
    <w:rsid w:val="00912E07"/>
    <w:rsid w:val="00932901"/>
    <w:rsid w:val="00933534"/>
    <w:rsid w:val="00933EF9"/>
    <w:rsid w:val="009514E8"/>
    <w:rsid w:val="00957CFC"/>
    <w:rsid w:val="00960759"/>
    <w:rsid w:val="00961AA9"/>
    <w:rsid w:val="00976331"/>
    <w:rsid w:val="00985838"/>
    <w:rsid w:val="00992D14"/>
    <w:rsid w:val="00993B2B"/>
    <w:rsid w:val="00993C80"/>
    <w:rsid w:val="00993E20"/>
    <w:rsid w:val="00997B9D"/>
    <w:rsid w:val="009A345C"/>
    <w:rsid w:val="009B2925"/>
    <w:rsid w:val="009B2F5F"/>
    <w:rsid w:val="009B3670"/>
    <w:rsid w:val="009C0230"/>
    <w:rsid w:val="009C353A"/>
    <w:rsid w:val="009C5723"/>
    <w:rsid w:val="009C7C06"/>
    <w:rsid w:val="009D276B"/>
    <w:rsid w:val="009D6799"/>
    <w:rsid w:val="009E0F80"/>
    <w:rsid w:val="009E3910"/>
    <w:rsid w:val="009E4748"/>
    <w:rsid w:val="009F2405"/>
    <w:rsid w:val="009F31BB"/>
    <w:rsid w:val="00A01A00"/>
    <w:rsid w:val="00A02502"/>
    <w:rsid w:val="00A05DE8"/>
    <w:rsid w:val="00A12EB1"/>
    <w:rsid w:val="00A13B78"/>
    <w:rsid w:val="00A20F75"/>
    <w:rsid w:val="00A2185F"/>
    <w:rsid w:val="00A24209"/>
    <w:rsid w:val="00A269D2"/>
    <w:rsid w:val="00A41D51"/>
    <w:rsid w:val="00A53AD8"/>
    <w:rsid w:val="00A63B1E"/>
    <w:rsid w:val="00A63DFC"/>
    <w:rsid w:val="00A665E0"/>
    <w:rsid w:val="00A7156E"/>
    <w:rsid w:val="00A73F25"/>
    <w:rsid w:val="00A75D35"/>
    <w:rsid w:val="00A804D3"/>
    <w:rsid w:val="00A811F5"/>
    <w:rsid w:val="00A81FAD"/>
    <w:rsid w:val="00A82DAC"/>
    <w:rsid w:val="00A9098D"/>
    <w:rsid w:val="00A92326"/>
    <w:rsid w:val="00AA0018"/>
    <w:rsid w:val="00AB0495"/>
    <w:rsid w:val="00AB1DD7"/>
    <w:rsid w:val="00AC184F"/>
    <w:rsid w:val="00AC50A7"/>
    <w:rsid w:val="00AC6DF0"/>
    <w:rsid w:val="00AF5100"/>
    <w:rsid w:val="00B001CD"/>
    <w:rsid w:val="00B16AEC"/>
    <w:rsid w:val="00B33C5C"/>
    <w:rsid w:val="00B4243F"/>
    <w:rsid w:val="00B43621"/>
    <w:rsid w:val="00B45DE5"/>
    <w:rsid w:val="00B553A7"/>
    <w:rsid w:val="00B60700"/>
    <w:rsid w:val="00B640CD"/>
    <w:rsid w:val="00B7094C"/>
    <w:rsid w:val="00B93224"/>
    <w:rsid w:val="00B955F1"/>
    <w:rsid w:val="00BA5B83"/>
    <w:rsid w:val="00BA6DAC"/>
    <w:rsid w:val="00BB54A0"/>
    <w:rsid w:val="00BB78D0"/>
    <w:rsid w:val="00BC000A"/>
    <w:rsid w:val="00BC2293"/>
    <w:rsid w:val="00BC38B3"/>
    <w:rsid w:val="00BC46F0"/>
    <w:rsid w:val="00BC732C"/>
    <w:rsid w:val="00BD7F24"/>
    <w:rsid w:val="00BE0877"/>
    <w:rsid w:val="00BE325E"/>
    <w:rsid w:val="00BF2368"/>
    <w:rsid w:val="00BF4467"/>
    <w:rsid w:val="00BF4BA2"/>
    <w:rsid w:val="00BF5998"/>
    <w:rsid w:val="00C1102E"/>
    <w:rsid w:val="00C1442E"/>
    <w:rsid w:val="00C15693"/>
    <w:rsid w:val="00C15AE9"/>
    <w:rsid w:val="00C170EC"/>
    <w:rsid w:val="00C17674"/>
    <w:rsid w:val="00C17E95"/>
    <w:rsid w:val="00C243DE"/>
    <w:rsid w:val="00C27E3C"/>
    <w:rsid w:val="00C317EC"/>
    <w:rsid w:val="00C32037"/>
    <w:rsid w:val="00C37434"/>
    <w:rsid w:val="00C376D5"/>
    <w:rsid w:val="00C43C7F"/>
    <w:rsid w:val="00C467C5"/>
    <w:rsid w:val="00C46E40"/>
    <w:rsid w:val="00C50062"/>
    <w:rsid w:val="00C54AC2"/>
    <w:rsid w:val="00C72EA6"/>
    <w:rsid w:val="00C7777D"/>
    <w:rsid w:val="00C86AD5"/>
    <w:rsid w:val="00C918C5"/>
    <w:rsid w:val="00CA3D06"/>
    <w:rsid w:val="00CC0202"/>
    <w:rsid w:val="00CC294B"/>
    <w:rsid w:val="00CC3F20"/>
    <w:rsid w:val="00CD234B"/>
    <w:rsid w:val="00CE4647"/>
    <w:rsid w:val="00CE797A"/>
    <w:rsid w:val="00CE7FF5"/>
    <w:rsid w:val="00CF4422"/>
    <w:rsid w:val="00CF449C"/>
    <w:rsid w:val="00CF4F12"/>
    <w:rsid w:val="00CF765A"/>
    <w:rsid w:val="00D0236D"/>
    <w:rsid w:val="00D15BEE"/>
    <w:rsid w:val="00D21A50"/>
    <w:rsid w:val="00D233EB"/>
    <w:rsid w:val="00D26D06"/>
    <w:rsid w:val="00D339F7"/>
    <w:rsid w:val="00D3675A"/>
    <w:rsid w:val="00D419FB"/>
    <w:rsid w:val="00D42768"/>
    <w:rsid w:val="00D47182"/>
    <w:rsid w:val="00D5357A"/>
    <w:rsid w:val="00D61535"/>
    <w:rsid w:val="00D71049"/>
    <w:rsid w:val="00D91941"/>
    <w:rsid w:val="00D94AC2"/>
    <w:rsid w:val="00D95210"/>
    <w:rsid w:val="00D964C3"/>
    <w:rsid w:val="00DA0BC4"/>
    <w:rsid w:val="00DA160A"/>
    <w:rsid w:val="00DA2308"/>
    <w:rsid w:val="00DA3249"/>
    <w:rsid w:val="00DA3325"/>
    <w:rsid w:val="00DA363C"/>
    <w:rsid w:val="00DA727E"/>
    <w:rsid w:val="00DB1B8C"/>
    <w:rsid w:val="00DB33C7"/>
    <w:rsid w:val="00DB72E3"/>
    <w:rsid w:val="00DC0E70"/>
    <w:rsid w:val="00DC1001"/>
    <w:rsid w:val="00DD22AA"/>
    <w:rsid w:val="00DD26C6"/>
    <w:rsid w:val="00DD307F"/>
    <w:rsid w:val="00DD35D7"/>
    <w:rsid w:val="00DD6314"/>
    <w:rsid w:val="00DE13C5"/>
    <w:rsid w:val="00DF159C"/>
    <w:rsid w:val="00E036F1"/>
    <w:rsid w:val="00E04FE0"/>
    <w:rsid w:val="00E10D16"/>
    <w:rsid w:val="00E2195B"/>
    <w:rsid w:val="00E233CD"/>
    <w:rsid w:val="00E27EB6"/>
    <w:rsid w:val="00E4026F"/>
    <w:rsid w:val="00E4086A"/>
    <w:rsid w:val="00E41389"/>
    <w:rsid w:val="00E50EBD"/>
    <w:rsid w:val="00E53663"/>
    <w:rsid w:val="00E57367"/>
    <w:rsid w:val="00E61556"/>
    <w:rsid w:val="00E61B4D"/>
    <w:rsid w:val="00E71E8A"/>
    <w:rsid w:val="00E776EA"/>
    <w:rsid w:val="00E80C39"/>
    <w:rsid w:val="00E82FC9"/>
    <w:rsid w:val="00E92604"/>
    <w:rsid w:val="00E92718"/>
    <w:rsid w:val="00E927E0"/>
    <w:rsid w:val="00E940D6"/>
    <w:rsid w:val="00EA2960"/>
    <w:rsid w:val="00EA4DC6"/>
    <w:rsid w:val="00EB138B"/>
    <w:rsid w:val="00EC284E"/>
    <w:rsid w:val="00EC61E2"/>
    <w:rsid w:val="00ED388C"/>
    <w:rsid w:val="00ED43E2"/>
    <w:rsid w:val="00ED5A5F"/>
    <w:rsid w:val="00ED76DE"/>
    <w:rsid w:val="00EE5E76"/>
    <w:rsid w:val="00EF10D4"/>
    <w:rsid w:val="00EF5110"/>
    <w:rsid w:val="00EF66AD"/>
    <w:rsid w:val="00F06FFA"/>
    <w:rsid w:val="00F12740"/>
    <w:rsid w:val="00F13B71"/>
    <w:rsid w:val="00F3280F"/>
    <w:rsid w:val="00F43598"/>
    <w:rsid w:val="00F478BC"/>
    <w:rsid w:val="00F52B3A"/>
    <w:rsid w:val="00F54646"/>
    <w:rsid w:val="00F54FC0"/>
    <w:rsid w:val="00F56153"/>
    <w:rsid w:val="00F6429E"/>
    <w:rsid w:val="00F665ED"/>
    <w:rsid w:val="00F73083"/>
    <w:rsid w:val="00F7648A"/>
    <w:rsid w:val="00F83357"/>
    <w:rsid w:val="00F903AE"/>
    <w:rsid w:val="00F93780"/>
    <w:rsid w:val="00F937C8"/>
    <w:rsid w:val="00F95B8E"/>
    <w:rsid w:val="00FA07EA"/>
    <w:rsid w:val="00FA2807"/>
    <w:rsid w:val="00FA463C"/>
    <w:rsid w:val="00FA5EF4"/>
    <w:rsid w:val="00FB10D9"/>
    <w:rsid w:val="00FB57B9"/>
    <w:rsid w:val="00FB5A70"/>
    <w:rsid w:val="00FC2571"/>
    <w:rsid w:val="00FC686F"/>
    <w:rsid w:val="00FF0A8A"/>
    <w:rsid w:val="00FF3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CD"/>
    <w:rPr>
      <w:rFonts w:ascii="Tahoma" w:hAnsi="Tahoma" w:cs="Tahoma"/>
      <w:sz w:val="16"/>
      <w:szCs w:val="16"/>
    </w:rPr>
  </w:style>
  <w:style w:type="paragraph" w:styleId="NormalWeb">
    <w:name w:val="Normal (Web)"/>
    <w:basedOn w:val="Normal"/>
    <w:uiPriority w:val="99"/>
    <w:semiHidden/>
    <w:unhideWhenUsed/>
    <w:rsid w:val="00F95B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5A7F"/>
    <w:pPr>
      <w:tabs>
        <w:tab w:val="center" w:pos="4702"/>
        <w:tab w:val="right" w:pos="9405"/>
      </w:tabs>
      <w:spacing w:after="0" w:line="240" w:lineRule="auto"/>
    </w:pPr>
  </w:style>
  <w:style w:type="character" w:customStyle="1" w:styleId="HeaderChar">
    <w:name w:val="Header Char"/>
    <w:basedOn w:val="DefaultParagraphFont"/>
    <w:link w:val="Header"/>
    <w:uiPriority w:val="99"/>
    <w:rsid w:val="00635A7F"/>
  </w:style>
  <w:style w:type="paragraph" w:styleId="Footer">
    <w:name w:val="footer"/>
    <w:basedOn w:val="Normal"/>
    <w:link w:val="FooterChar"/>
    <w:uiPriority w:val="99"/>
    <w:semiHidden/>
    <w:unhideWhenUsed/>
    <w:rsid w:val="00635A7F"/>
    <w:pPr>
      <w:tabs>
        <w:tab w:val="center" w:pos="4702"/>
        <w:tab w:val="right" w:pos="9405"/>
      </w:tabs>
      <w:spacing w:after="0" w:line="240" w:lineRule="auto"/>
    </w:pPr>
  </w:style>
  <w:style w:type="character" w:customStyle="1" w:styleId="FooterChar">
    <w:name w:val="Footer Char"/>
    <w:basedOn w:val="DefaultParagraphFont"/>
    <w:link w:val="Footer"/>
    <w:uiPriority w:val="99"/>
    <w:semiHidden/>
    <w:rsid w:val="00635A7F"/>
  </w:style>
  <w:style w:type="character" w:customStyle="1" w:styleId="apple-style-span">
    <w:name w:val="apple-style-span"/>
    <w:basedOn w:val="DefaultParagraphFont"/>
    <w:rsid w:val="00B16AEC"/>
  </w:style>
  <w:style w:type="paragraph" w:styleId="FootnoteText">
    <w:name w:val="footnote text"/>
    <w:basedOn w:val="Normal"/>
    <w:link w:val="FootnoteTextChar"/>
    <w:uiPriority w:val="99"/>
    <w:semiHidden/>
    <w:unhideWhenUsed/>
    <w:rsid w:val="00A53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AD8"/>
    <w:rPr>
      <w:sz w:val="20"/>
      <w:szCs w:val="20"/>
    </w:rPr>
  </w:style>
  <w:style w:type="character" w:styleId="FootnoteReference">
    <w:name w:val="footnote reference"/>
    <w:basedOn w:val="DefaultParagraphFont"/>
    <w:uiPriority w:val="99"/>
    <w:semiHidden/>
    <w:unhideWhenUsed/>
    <w:rsid w:val="00A53AD8"/>
    <w:rPr>
      <w:vertAlign w:val="superscript"/>
    </w:rPr>
  </w:style>
  <w:style w:type="character" w:styleId="Hyperlink">
    <w:name w:val="Hyperlink"/>
    <w:basedOn w:val="DefaultParagraphFont"/>
    <w:uiPriority w:val="99"/>
    <w:unhideWhenUsed/>
    <w:rsid w:val="00CE7FF5"/>
    <w:rPr>
      <w:color w:val="0000FF" w:themeColor="hyperlink"/>
      <w:u w:val="single"/>
    </w:rPr>
  </w:style>
  <w:style w:type="paragraph" w:styleId="ListParagraph">
    <w:name w:val="List Paragraph"/>
    <w:basedOn w:val="Normal"/>
    <w:uiPriority w:val="34"/>
    <w:qFormat/>
    <w:rsid w:val="00E71E8A"/>
    <w:pPr>
      <w:ind w:left="720"/>
      <w:contextualSpacing/>
    </w:pPr>
  </w:style>
</w:styles>
</file>

<file path=word/webSettings.xml><?xml version="1.0" encoding="utf-8"?>
<w:webSettings xmlns:r="http://schemas.openxmlformats.org/officeDocument/2006/relationships" xmlns:w="http://schemas.openxmlformats.org/wordprocessingml/2006/main">
  <w:divs>
    <w:div w:id="25107257">
      <w:bodyDiv w:val="1"/>
      <w:marLeft w:val="0"/>
      <w:marRight w:val="0"/>
      <w:marTop w:val="0"/>
      <w:marBottom w:val="0"/>
      <w:divBdr>
        <w:top w:val="none" w:sz="0" w:space="0" w:color="auto"/>
        <w:left w:val="none" w:sz="0" w:space="0" w:color="auto"/>
        <w:bottom w:val="none" w:sz="0" w:space="0" w:color="auto"/>
        <w:right w:val="none" w:sz="0" w:space="0" w:color="auto"/>
      </w:divBdr>
    </w:div>
    <w:div w:id="88082714">
      <w:bodyDiv w:val="1"/>
      <w:marLeft w:val="0"/>
      <w:marRight w:val="0"/>
      <w:marTop w:val="0"/>
      <w:marBottom w:val="0"/>
      <w:divBdr>
        <w:top w:val="none" w:sz="0" w:space="0" w:color="auto"/>
        <w:left w:val="none" w:sz="0" w:space="0" w:color="auto"/>
        <w:bottom w:val="none" w:sz="0" w:space="0" w:color="auto"/>
        <w:right w:val="none" w:sz="0" w:space="0" w:color="auto"/>
      </w:divBdr>
    </w:div>
    <w:div w:id="465241295">
      <w:bodyDiv w:val="1"/>
      <w:marLeft w:val="0"/>
      <w:marRight w:val="0"/>
      <w:marTop w:val="0"/>
      <w:marBottom w:val="0"/>
      <w:divBdr>
        <w:top w:val="none" w:sz="0" w:space="0" w:color="auto"/>
        <w:left w:val="none" w:sz="0" w:space="0" w:color="auto"/>
        <w:bottom w:val="none" w:sz="0" w:space="0" w:color="auto"/>
        <w:right w:val="none" w:sz="0" w:space="0" w:color="auto"/>
      </w:divBdr>
    </w:div>
    <w:div w:id="604730581">
      <w:bodyDiv w:val="1"/>
      <w:marLeft w:val="0"/>
      <w:marRight w:val="0"/>
      <w:marTop w:val="0"/>
      <w:marBottom w:val="0"/>
      <w:divBdr>
        <w:top w:val="none" w:sz="0" w:space="0" w:color="auto"/>
        <w:left w:val="none" w:sz="0" w:space="0" w:color="auto"/>
        <w:bottom w:val="none" w:sz="0" w:space="0" w:color="auto"/>
        <w:right w:val="none" w:sz="0" w:space="0" w:color="auto"/>
      </w:divBdr>
    </w:div>
    <w:div w:id="824080916">
      <w:bodyDiv w:val="1"/>
      <w:marLeft w:val="0"/>
      <w:marRight w:val="0"/>
      <w:marTop w:val="0"/>
      <w:marBottom w:val="0"/>
      <w:divBdr>
        <w:top w:val="none" w:sz="0" w:space="0" w:color="auto"/>
        <w:left w:val="none" w:sz="0" w:space="0" w:color="auto"/>
        <w:bottom w:val="none" w:sz="0" w:space="0" w:color="auto"/>
        <w:right w:val="none" w:sz="0" w:space="0" w:color="auto"/>
      </w:divBdr>
    </w:div>
    <w:div w:id="1145581320">
      <w:bodyDiv w:val="1"/>
      <w:marLeft w:val="0"/>
      <w:marRight w:val="0"/>
      <w:marTop w:val="0"/>
      <w:marBottom w:val="0"/>
      <w:divBdr>
        <w:top w:val="none" w:sz="0" w:space="0" w:color="auto"/>
        <w:left w:val="none" w:sz="0" w:space="0" w:color="auto"/>
        <w:bottom w:val="none" w:sz="0" w:space="0" w:color="auto"/>
        <w:right w:val="none" w:sz="0" w:space="0" w:color="auto"/>
      </w:divBdr>
      <w:divsChild>
        <w:div w:id="265385391">
          <w:marLeft w:val="547"/>
          <w:marRight w:val="0"/>
          <w:marTop w:val="96"/>
          <w:marBottom w:val="0"/>
          <w:divBdr>
            <w:top w:val="none" w:sz="0" w:space="0" w:color="auto"/>
            <w:left w:val="none" w:sz="0" w:space="0" w:color="auto"/>
            <w:bottom w:val="none" w:sz="0" w:space="0" w:color="auto"/>
            <w:right w:val="none" w:sz="0" w:space="0" w:color="auto"/>
          </w:divBdr>
        </w:div>
        <w:div w:id="1713530958">
          <w:marLeft w:val="547"/>
          <w:marRight w:val="0"/>
          <w:marTop w:val="96"/>
          <w:marBottom w:val="0"/>
          <w:divBdr>
            <w:top w:val="none" w:sz="0" w:space="0" w:color="auto"/>
            <w:left w:val="none" w:sz="0" w:space="0" w:color="auto"/>
            <w:bottom w:val="none" w:sz="0" w:space="0" w:color="auto"/>
            <w:right w:val="none" w:sz="0" w:space="0" w:color="auto"/>
          </w:divBdr>
        </w:div>
        <w:div w:id="281498155">
          <w:marLeft w:val="547"/>
          <w:marRight w:val="0"/>
          <w:marTop w:val="96"/>
          <w:marBottom w:val="0"/>
          <w:divBdr>
            <w:top w:val="none" w:sz="0" w:space="0" w:color="auto"/>
            <w:left w:val="none" w:sz="0" w:space="0" w:color="auto"/>
            <w:bottom w:val="none" w:sz="0" w:space="0" w:color="auto"/>
            <w:right w:val="none" w:sz="0" w:space="0" w:color="auto"/>
          </w:divBdr>
        </w:div>
        <w:div w:id="1625118618">
          <w:marLeft w:val="547"/>
          <w:marRight w:val="0"/>
          <w:marTop w:val="96"/>
          <w:marBottom w:val="0"/>
          <w:divBdr>
            <w:top w:val="none" w:sz="0" w:space="0" w:color="auto"/>
            <w:left w:val="none" w:sz="0" w:space="0" w:color="auto"/>
            <w:bottom w:val="none" w:sz="0" w:space="0" w:color="auto"/>
            <w:right w:val="none" w:sz="0" w:space="0" w:color="auto"/>
          </w:divBdr>
        </w:div>
        <w:div w:id="1283069892">
          <w:marLeft w:val="547"/>
          <w:marRight w:val="0"/>
          <w:marTop w:val="96"/>
          <w:marBottom w:val="0"/>
          <w:divBdr>
            <w:top w:val="none" w:sz="0" w:space="0" w:color="auto"/>
            <w:left w:val="none" w:sz="0" w:space="0" w:color="auto"/>
            <w:bottom w:val="none" w:sz="0" w:space="0" w:color="auto"/>
            <w:right w:val="none" w:sz="0" w:space="0" w:color="auto"/>
          </w:divBdr>
        </w:div>
        <w:div w:id="1194340509">
          <w:marLeft w:val="547"/>
          <w:marRight w:val="0"/>
          <w:marTop w:val="96"/>
          <w:marBottom w:val="0"/>
          <w:divBdr>
            <w:top w:val="none" w:sz="0" w:space="0" w:color="auto"/>
            <w:left w:val="none" w:sz="0" w:space="0" w:color="auto"/>
            <w:bottom w:val="none" w:sz="0" w:space="0" w:color="auto"/>
            <w:right w:val="none" w:sz="0" w:space="0" w:color="auto"/>
          </w:divBdr>
        </w:div>
        <w:div w:id="88892967">
          <w:marLeft w:val="547"/>
          <w:marRight w:val="0"/>
          <w:marTop w:val="96"/>
          <w:marBottom w:val="0"/>
          <w:divBdr>
            <w:top w:val="none" w:sz="0" w:space="0" w:color="auto"/>
            <w:left w:val="none" w:sz="0" w:space="0" w:color="auto"/>
            <w:bottom w:val="none" w:sz="0" w:space="0" w:color="auto"/>
            <w:right w:val="none" w:sz="0" w:space="0" w:color="auto"/>
          </w:divBdr>
        </w:div>
        <w:div w:id="107049697">
          <w:marLeft w:val="547"/>
          <w:marRight w:val="0"/>
          <w:marTop w:val="96"/>
          <w:marBottom w:val="0"/>
          <w:divBdr>
            <w:top w:val="none" w:sz="0" w:space="0" w:color="auto"/>
            <w:left w:val="none" w:sz="0" w:space="0" w:color="auto"/>
            <w:bottom w:val="none" w:sz="0" w:space="0" w:color="auto"/>
            <w:right w:val="none" w:sz="0" w:space="0" w:color="auto"/>
          </w:divBdr>
        </w:div>
        <w:div w:id="1329868985">
          <w:marLeft w:val="547"/>
          <w:marRight w:val="0"/>
          <w:marTop w:val="96"/>
          <w:marBottom w:val="0"/>
          <w:divBdr>
            <w:top w:val="none" w:sz="0" w:space="0" w:color="auto"/>
            <w:left w:val="none" w:sz="0" w:space="0" w:color="auto"/>
            <w:bottom w:val="none" w:sz="0" w:space="0" w:color="auto"/>
            <w:right w:val="none" w:sz="0" w:space="0" w:color="auto"/>
          </w:divBdr>
        </w:div>
        <w:div w:id="844318696">
          <w:marLeft w:val="1166"/>
          <w:marRight w:val="0"/>
          <w:marTop w:val="77"/>
          <w:marBottom w:val="0"/>
          <w:divBdr>
            <w:top w:val="none" w:sz="0" w:space="0" w:color="auto"/>
            <w:left w:val="none" w:sz="0" w:space="0" w:color="auto"/>
            <w:bottom w:val="none" w:sz="0" w:space="0" w:color="auto"/>
            <w:right w:val="none" w:sz="0" w:space="0" w:color="auto"/>
          </w:divBdr>
        </w:div>
        <w:div w:id="993945895">
          <w:marLeft w:val="1166"/>
          <w:marRight w:val="0"/>
          <w:marTop w:val="77"/>
          <w:marBottom w:val="0"/>
          <w:divBdr>
            <w:top w:val="none" w:sz="0" w:space="0" w:color="auto"/>
            <w:left w:val="none" w:sz="0" w:space="0" w:color="auto"/>
            <w:bottom w:val="none" w:sz="0" w:space="0" w:color="auto"/>
            <w:right w:val="none" w:sz="0" w:space="0" w:color="auto"/>
          </w:divBdr>
        </w:div>
        <w:div w:id="553203867">
          <w:marLeft w:val="1166"/>
          <w:marRight w:val="0"/>
          <w:marTop w:val="77"/>
          <w:marBottom w:val="0"/>
          <w:divBdr>
            <w:top w:val="none" w:sz="0" w:space="0" w:color="auto"/>
            <w:left w:val="none" w:sz="0" w:space="0" w:color="auto"/>
            <w:bottom w:val="none" w:sz="0" w:space="0" w:color="auto"/>
            <w:right w:val="none" w:sz="0" w:space="0" w:color="auto"/>
          </w:divBdr>
        </w:div>
        <w:div w:id="602301287">
          <w:marLeft w:val="1166"/>
          <w:marRight w:val="0"/>
          <w:marTop w:val="77"/>
          <w:marBottom w:val="0"/>
          <w:divBdr>
            <w:top w:val="none" w:sz="0" w:space="0" w:color="auto"/>
            <w:left w:val="none" w:sz="0" w:space="0" w:color="auto"/>
            <w:bottom w:val="none" w:sz="0" w:space="0" w:color="auto"/>
            <w:right w:val="none" w:sz="0" w:space="0" w:color="auto"/>
          </w:divBdr>
        </w:div>
        <w:div w:id="467286475">
          <w:marLeft w:val="1166"/>
          <w:marRight w:val="0"/>
          <w:marTop w:val="77"/>
          <w:marBottom w:val="0"/>
          <w:divBdr>
            <w:top w:val="none" w:sz="0" w:space="0" w:color="auto"/>
            <w:left w:val="none" w:sz="0" w:space="0" w:color="auto"/>
            <w:bottom w:val="none" w:sz="0" w:space="0" w:color="auto"/>
            <w:right w:val="none" w:sz="0" w:space="0" w:color="auto"/>
          </w:divBdr>
        </w:div>
      </w:divsChild>
    </w:div>
    <w:div w:id="1318650963">
      <w:bodyDiv w:val="1"/>
      <w:marLeft w:val="0"/>
      <w:marRight w:val="0"/>
      <w:marTop w:val="0"/>
      <w:marBottom w:val="0"/>
      <w:divBdr>
        <w:top w:val="none" w:sz="0" w:space="0" w:color="auto"/>
        <w:left w:val="none" w:sz="0" w:space="0" w:color="auto"/>
        <w:bottom w:val="none" w:sz="0" w:space="0" w:color="auto"/>
        <w:right w:val="none" w:sz="0" w:space="0" w:color="auto"/>
      </w:divBdr>
    </w:div>
    <w:div w:id="1419447280">
      <w:bodyDiv w:val="1"/>
      <w:marLeft w:val="0"/>
      <w:marRight w:val="0"/>
      <w:marTop w:val="0"/>
      <w:marBottom w:val="0"/>
      <w:divBdr>
        <w:top w:val="none" w:sz="0" w:space="0" w:color="auto"/>
        <w:left w:val="none" w:sz="0" w:space="0" w:color="auto"/>
        <w:bottom w:val="none" w:sz="0" w:space="0" w:color="auto"/>
        <w:right w:val="none" w:sz="0" w:space="0" w:color="auto"/>
      </w:divBdr>
    </w:div>
    <w:div w:id="15670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ESID2\Desktop\Vrab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32283464566928"/>
          <c:y val="9.0899831550907043E-2"/>
          <c:w val="0.31321794306725487"/>
          <c:h val="0.77252634465467962"/>
        </c:manualLayout>
      </c:layout>
      <c:pieChart>
        <c:varyColors val="1"/>
        <c:ser>
          <c:idx val="0"/>
          <c:order val="0"/>
          <c:explosion val="25"/>
          <c:dPt>
            <c:idx val="0"/>
            <c:spPr>
              <a:solidFill>
                <a:srgbClr val="FF0000"/>
              </a:solidFill>
            </c:spPr>
          </c:dPt>
          <c:dPt>
            <c:idx val="1"/>
            <c:spPr>
              <a:solidFill>
                <a:srgbClr val="FFFF00"/>
              </a:solidFill>
            </c:spPr>
          </c:dPt>
          <c:dPt>
            <c:idx val="2"/>
            <c:spPr>
              <a:solidFill>
                <a:srgbClr val="00B050"/>
              </a:solidFill>
            </c:spPr>
          </c:dPt>
          <c:dPt>
            <c:idx val="3"/>
            <c:spPr>
              <a:solidFill>
                <a:srgbClr val="00B0F0"/>
              </a:solidFill>
            </c:spPr>
          </c:dPt>
          <c:dLbls>
            <c:showVal val="1"/>
            <c:showLeaderLines val="1"/>
          </c:dLbls>
          <c:cat>
            <c:strRef>
              <c:f>Sheet1!$B$5:$B$8</c:f>
              <c:strCache>
                <c:ptCount val="4"/>
                <c:pt idx="0">
                  <c:v>Centralno (daljinsko) grejanje, toplana</c:v>
                </c:pt>
                <c:pt idx="1">
                  <c:v>Etažno grejanje (sistem grejanja za celo domaćinstvo) bilo koje gorivo</c:v>
                </c:pt>
                <c:pt idx="2">
                  <c:v>Električni aparati – grejanje u pojedinačnim prostorijama (TA peć, kvarcna, klima, kalorifer)</c:v>
                </c:pt>
                <c:pt idx="3">
                  <c:v>Uređaji za grejanje – grejanje u pojedinačnim prostorijama (šporet, peć, kamin, kaljeva peć...)</c:v>
                </c:pt>
              </c:strCache>
            </c:strRef>
          </c:cat>
          <c:val>
            <c:numRef>
              <c:f>Sheet1!$C$5:$C$8</c:f>
              <c:numCache>
                <c:formatCode>General</c:formatCode>
                <c:ptCount val="4"/>
                <c:pt idx="0">
                  <c:v>11</c:v>
                </c:pt>
                <c:pt idx="1">
                  <c:v>15</c:v>
                </c:pt>
                <c:pt idx="2">
                  <c:v>7</c:v>
                </c:pt>
                <c:pt idx="3">
                  <c:v>67</c:v>
                </c:pt>
              </c:numCache>
            </c:numRef>
          </c:val>
        </c:ser>
        <c:firstSliceAng val="0"/>
      </c:pieChart>
    </c:plotArea>
    <c:legend>
      <c:legendPos val="r"/>
      <c:layout>
        <c:manualLayout>
          <c:xMode val="edge"/>
          <c:yMode val="edge"/>
          <c:x val="0.55443124828760959"/>
          <c:y val="7.7632691746865587E-2"/>
          <c:w val="0.39259342204009678"/>
          <c:h val="0.84473425196850815"/>
        </c:manualLayout>
      </c:layout>
    </c:legend>
    <c:plotVisOnly val="1"/>
  </c:chart>
  <c:spPr>
    <a:ln>
      <a:noFill/>
    </a:ln>
  </c:spPr>
  <c:txPr>
    <a:bodyPr/>
    <a:lstStyle/>
    <a:p>
      <a:pPr>
        <a:defRPr>
          <a:latin typeface="Constantia"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explosion val="25"/>
          <c:dLbls>
            <c:showVal val="1"/>
            <c:showLeaderLines val="1"/>
          </c:dLbls>
          <c:cat>
            <c:strRef>
              <c:f>Sheet2!$D$84:$D$85</c:f>
              <c:strCache>
                <c:ptCount val="2"/>
                <c:pt idx="0">
                  <c:v>Ima</c:v>
                </c:pt>
                <c:pt idx="1">
                  <c:v>Nema</c:v>
                </c:pt>
              </c:strCache>
            </c:strRef>
          </c:cat>
          <c:val>
            <c:numRef>
              <c:f>Sheet2!$E$84:$E$85</c:f>
              <c:numCache>
                <c:formatCode>General</c:formatCode>
                <c:ptCount val="2"/>
                <c:pt idx="0">
                  <c:v>20</c:v>
                </c:pt>
                <c:pt idx="1">
                  <c:v>80</c:v>
                </c:pt>
              </c:numCache>
            </c:numRef>
          </c:val>
        </c:ser>
        <c:firstSliceAng val="0"/>
      </c:pieChart>
    </c:plotArea>
    <c:legend>
      <c:legendPos val="b"/>
    </c:legend>
    <c:plotVisOnly val="1"/>
  </c:chart>
  <c:spPr>
    <a:ln>
      <a:noFill/>
    </a:ln>
  </c:spPr>
  <c:txPr>
    <a:bodyPr/>
    <a:lstStyle/>
    <a:p>
      <a:pPr>
        <a:defRPr>
          <a:latin typeface="Constantia"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04396325459318"/>
          <c:y val="7.4548702245552642E-2"/>
          <c:w val="0.88495603674540679"/>
          <c:h val="0.79822506561679785"/>
        </c:manualLayout>
      </c:layout>
      <c:lineChart>
        <c:grouping val="standard"/>
        <c:ser>
          <c:idx val="0"/>
          <c:order val="0"/>
          <c:marker>
            <c:symbol val="none"/>
          </c:marker>
          <c:dLbls>
            <c:showVal val="1"/>
          </c:dLbls>
          <c:cat>
            <c:strRef>
              <c:f>Sheet2!$D$105:$D$107</c:f>
              <c:strCache>
                <c:ptCount val="3"/>
                <c:pt idx="0">
                  <c:v>Električna energija</c:v>
                </c:pt>
                <c:pt idx="1">
                  <c:v>Gas ili plin</c:v>
                </c:pt>
                <c:pt idx="2">
                  <c:v>Drva</c:v>
                </c:pt>
              </c:strCache>
            </c:strRef>
          </c:cat>
          <c:val>
            <c:numRef>
              <c:f>Sheet2!$E$105:$E$107</c:f>
              <c:numCache>
                <c:formatCode>General</c:formatCode>
                <c:ptCount val="3"/>
                <c:pt idx="0">
                  <c:v>59</c:v>
                </c:pt>
                <c:pt idx="1">
                  <c:v>35</c:v>
                </c:pt>
                <c:pt idx="2">
                  <c:v>6</c:v>
                </c:pt>
              </c:numCache>
            </c:numRef>
          </c:val>
        </c:ser>
        <c:marker val="1"/>
        <c:axId val="111127936"/>
        <c:axId val="111142016"/>
      </c:lineChart>
      <c:catAx>
        <c:axId val="111127936"/>
        <c:scaling>
          <c:orientation val="minMax"/>
        </c:scaling>
        <c:axPos val="b"/>
        <c:tickLblPos val="nextTo"/>
        <c:crossAx val="111142016"/>
        <c:crosses val="autoZero"/>
        <c:auto val="1"/>
        <c:lblAlgn val="ctr"/>
        <c:lblOffset val="100"/>
      </c:catAx>
      <c:valAx>
        <c:axId val="111142016"/>
        <c:scaling>
          <c:orientation val="minMax"/>
        </c:scaling>
        <c:delete val="1"/>
        <c:axPos val="l"/>
        <c:majorGridlines>
          <c:spPr>
            <a:ln>
              <a:solidFill>
                <a:sysClr val="window" lastClr="FFFFFF"/>
              </a:solidFill>
            </a:ln>
          </c:spPr>
        </c:majorGridlines>
        <c:numFmt formatCode="General" sourceLinked="1"/>
        <c:tickLblPos val="nextTo"/>
        <c:crossAx val="111127936"/>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doughnutChart>
        <c:varyColors val="1"/>
        <c:ser>
          <c:idx val="0"/>
          <c:order val="0"/>
          <c:dLbls>
            <c:showVal val="1"/>
            <c:showLeaderLines val="1"/>
          </c:dLbls>
          <c:cat>
            <c:strRef>
              <c:f>Sheet2!$D$131:$D$134</c:f>
              <c:strCache>
                <c:ptCount val="4"/>
                <c:pt idx="0">
                  <c:v>Nema i ne koristi bicikl</c:v>
                </c:pt>
                <c:pt idx="1">
                  <c:v>Ima bicikl, ali samo za zabavu i rekreaciju</c:v>
                </c:pt>
                <c:pt idx="2">
                  <c:v>Ima bicikl i povremeno ga korisiti za transport</c:v>
                </c:pt>
                <c:pt idx="3">
                  <c:v>Ima bicikl i redovno ga koristi za transport</c:v>
                </c:pt>
              </c:strCache>
            </c:strRef>
          </c:cat>
          <c:val>
            <c:numRef>
              <c:f>Sheet2!$E$131:$E$134</c:f>
              <c:numCache>
                <c:formatCode>General</c:formatCode>
                <c:ptCount val="4"/>
                <c:pt idx="0">
                  <c:v>30</c:v>
                </c:pt>
                <c:pt idx="1">
                  <c:v>3</c:v>
                </c:pt>
                <c:pt idx="2">
                  <c:v>22</c:v>
                </c:pt>
                <c:pt idx="3">
                  <c:v>45</c:v>
                </c:pt>
              </c:numCache>
            </c:numRef>
          </c:val>
        </c:ser>
        <c:firstSliceAng val="0"/>
        <c:holeSize val="50"/>
      </c:doughnutChart>
    </c:plotArea>
    <c:legend>
      <c:legendPos val="r"/>
    </c:legend>
    <c:plotVisOnly val="1"/>
  </c:chart>
  <c:spPr>
    <a:ln>
      <a:noFill/>
    </a:ln>
  </c:spPr>
  <c:txPr>
    <a:bodyPr/>
    <a:lstStyle/>
    <a:p>
      <a:pPr>
        <a:defRPr>
          <a:latin typeface="Constantia"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31800218722659845"/>
          <c:y val="6.4814814814815339E-2"/>
          <c:w val="0.4912333472926973"/>
          <c:h val="0.79869969378828198"/>
        </c:manualLayout>
      </c:layout>
      <c:bar3DChart>
        <c:barDir val="bar"/>
        <c:grouping val="clustered"/>
        <c:ser>
          <c:idx val="0"/>
          <c:order val="0"/>
          <c:tx>
            <c:strRef>
              <c:f>Sheet2!$M$149</c:f>
              <c:strCache>
                <c:ptCount val="1"/>
                <c:pt idx="0">
                  <c:v>Ne želi uopšte da koristi bicikl</c:v>
                </c:pt>
              </c:strCache>
            </c:strRef>
          </c:tx>
          <c:dLbls>
            <c:showVal val="1"/>
          </c:dLbls>
          <c:cat>
            <c:strRef>
              <c:f>Sheet2!$L$150:$L$153</c:f>
              <c:strCache>
                <c:ptCount val="4"/>
                <c:pt idx="0">
                  <c:v>Obezbedila parking mesta za bicikle</c:v>
                </c:pt>
                <c:pt idx="1">
                  <c:v>Mogućnost iznajmljivanja bicikala</c:v>
                </c:pt>
                <c:pt idx="2">
                  <c:v>Povećao broj biciklističkih staza</c:v>
                </c:pt>
                <c:pt idx="3">
                  <c:v>Povećala bezbednost biciklista u saobraćaju</c:v>
                </c:pt>
              </c:strCache>
            </c:strRef>
          </c:cat>
          <c:val>
            <c:numRef>
              <c:f>Sheet2!$M$150:$M$153</c:f>
              <c:numCache>
                <c:formatCode>General</c:formatCode>
                <c:ptCount val="4"/>
                <c:pt idx="0">
                  <c:v>25</c:v>
                </c:pt>
                <c:pt idx="1">
                  <c:v>25</c:v>
                </c:pt>
                <c:pt idx="2">
                  <c:v>25</c:v>
                </c:pt>
                <c:pt idx="3">
                  <c:v>25</c:v>
                </c:pt>
              </c:numCache>
            </c:numRef>
          </c:val>
        </c:ser>
        <c:ser>
          <c:idx val="1"/>
          <c:order val="1"/>
          <c:tx>
            <c:strRef>
              <c:f>Sheet2!$N$149</c:f>
              <c:strCache>
                <c:ptCount val="1"/>
                <c:pt idx="0">
                  <c:v>Već koristi dovoljno</c:v>
                </c:pt>
              </c:strCache>
            </c:strRef>
          </c:tx>
          <c:dLbls>
            <c:showVal val="1"/>
          </c:dLbls>
          <c:cat>
            <c:strRef>
              <c:f>Sheet2!$L$150:$L$153</c:f>
              <c:strCache>
                <c:ptCount val="4"/>
                <c:pt idx="0">
                  <c:v>Obezbedila parking mesta za bicikle</c:v>
                </c:pt>
                <c:pt idx="1">
                  <c:v>Mogućnost iznajmljivanja bicikala</c:v>
                </c:pt>
                <c:pt idx="2">
                  <c:v>Povećao broj biciklističkih staza</c:v>
                </c:pt>
                <c:pt idx="3">
                  <c:v>Povećala bezbednost biciklista u saobraćaju</c:v>
                </c:pt>
              </c:strCache>
            </c:strRef>
          </c:cat>
          <c:val>
            <c:numRef>
              <c:f>Sheet2!$N$150:$N$153</c:f>
              <c:numCache>
                <c:formatCode>General</c:formatCode>
                <c:ptCount val="4"/>
                <c:pt idx="0">
                  <c:v>30</c:v>
                </c:pt>
                <c:pt idx="1">
                  <c:v>26</c:v>
                </c:pt>
                <c:pt idx="2">
                  <c:v>24</c:v>
                </c:pt>
                <c:pt idx="3">
                  <c:v>22</c:v>
                </c:pt>
              </c:numCache>
            </c:numRef>
          </c:val>
        </c:ser>
        <c:ser>
          <c:idx val="2"/>
          <c:order val="2"/>
          <c:tx>
            <c:strRef>
              <c:f>Sheet2!$O$149</c:f>
              <c:strCache>
                <c:ptCount val="1"/>
                <c:pt idx="0">
                  <c:v>Da, povećao bi</c:v>
                </c:pt>
              </c:strCache>
            </c:strRef>
          </c:tx>
          <c:dLbls>
            <c:dLbl>
              <c:idx val="0"/>
              <c:layout>
                <c:manualLayout>
                  <c:x val="2.0356230833887367E-3"/>
                  <c:y val="-1.8390804597701243E-2"/>
                </c:manualLayout>
              </c:layout>
              <c:showVal val="1"/>
            </c:dLbl>
            <c:dLbl>
              <c:idx val="1"/>
              <c:layout>
                <c:manualLayout>
                  <c:x val="0"/>
                  <c:y val="-9.1954022988506631E-3"/>
                </c:manualLayout>
              </c:layout>
              <c:showVal val="1"/>
            </c:dLbl>
            <c:dLbl>
              <c:idx val="2"/>
              <c:layout>
                <c:manualLayout>
                  <c:x val="0"/>
                  <c:y val="-2.2988505747126436E-2"/>
                </c:manualLayout>
              </c:layout>
              <c:showVal val="1"/>
            </c:dLbl>
            <c:dLbl>
              <c:idx val="3"/>
              <c:layout>
                <c:manualLayout>
                  <c:x val="0"/>
                  <c:y val="-2.7586206896551741E-2"/>
                </c:manualLayout>
              </c:layout>
              <c:showVal val="1"/>
            </c:dLbl>
            <c:showVal val="1"/>
          </c:dLbls>
          <c:cat>
            <c:strRef>
              <c:f>Sheet2!$L$150:$L$153</c:f>
              <c:strCache>
                <c:ptCount val="4"/>
                <c:pt idx="0">
                  <c:v>Obezbedila parking mesta za bicikle</c:v>
                </c:pt>
                <c:pt idx="1">
                  <c:v>Mogućnost iznajmljivanja bicikala</c:v>
                </c:pt>
                <c:pt idx="2">
                  <c:v>Povećao broj biciklističkih staza</c:v>
                </c:pt>
                <c:pt idx="3">
                  <c:v>Povećala bezbednost biciklista u saobraćaju</c:v>
                </c:pt>
              </c:strCache>
            </c:strRef>
          </c:cat>
          <c:val>
            <c:numRef>
              <c:f>Sheet2!$O$150:$O$153</c:f>
              <c:numCache>
                <c:formatCode>General</c:formatCode>
                <c:ptCount val="4"/>
                <c:pt idx="0">
                  <c:v>29</c:v>
                </c:pt>
                <c:pt idx="1">
                  <c:v>22</c:v>
                </c:pt>
                <c:pt idx="2">
                  <c:v>42</c:v>
                </c:pt>
                <c:pt idx="3">
                  <c:v>43</c:v>
                </c:pt>
              </c:numCache>
            </c:numRef>
          </c:val>
        </c:ser>
        <c:ser>
          <c:idx val="3"/>
          <c:order val="3"/>
          <c:tx>
            <c:strRef>
              <c:f>Sheet2!$P$149</c:f>
              <c:strCache>
                <c:ptCount val="1"/>
                <c:pt idx="0">
                  <c:v>Ne, ne bi povećao</c:v>
                </c:pt>
              </c:strCache>
            </c:strRef>
          </c:tx>
          <c:dLbls>
            <c:dLbl>
              <c:idx val="0"/>
              <c:layout>
                <c:manualLayout>
                  <c:x val="-2.0356230833887367E-3"/>
                  <c:y val="-2.7586206896551741E-2"/>
                </c:manualLayout>
              </c:layout>
              <c:showVal val="1"/>
            </c:dLbl>
            <c:dLbl>
              <c:idx val="1"/>
              <c:layout>
                <c:manualLayout>
                  <c:x val="0"/>
                  <c:y val="-1.3793103448275924E-2"/>
                </c:manualLayout>
              </c:layout>
              <c:showVal val="1"/>
            </c:dLbl>
            <c:dLbl>
              <c:idx val="2"/>
              <c:layout>
                <c:manualLayout>
                  <c:x val="0"/>
                  <c:y val="-1.8390804597701163E-2"/>
                </c:manualLayout>
              </c:layout>
              <c:showVal val="1"/>
            </c:dLbl>
            <c:dLbl>
              <c:idx val="3"/>
              <c:layout>
                <c:manualLayout>
                  <c:x val="0"/>
                  <c:y val="-2.7586206896551741E-2"/>
                </c:manualLayout>
              </c:layout>
              <c:showVal val="1"/>
            </c:dLbl>
            <c:showVal val="1"/>
          </c:dLbls>
          <c:cat>
            <c:strRef>
              <c:f>Sheet2!$L$150:$L$153</c:f>
              <c:strCache>
                <c:ptCount val="4"/>
                <c:pt idx="0">
                  <c:v>Obezbedila parking mesta za bicikle</c:v>
                </c:pt>
                <c:pt idx="1">
                  <c:v>Mogućnost iznajmljivanja bicikala</c:v>
                </c:pt>
                <c:pt idx="2">
                  <c:v>Povećao broj biciklističkih staza</c:v>
                </c:pt>
                <c:pt idx="3">
                  <c:v>Povećala bezbednost biciklista u saobraćaju</c:v>
                </c:pt>
              </c:strCache>
            </c:strRef>
          </c:cat>
          <c:val>
            <c:numRef>
              <c:f>Sheet2!$P$150:$P$153</c:f>
              <c:numCache>
                <c:formatCode>General</c:formatCode>
                <c:ptCount val="4"/>
                <c:pt idx="0">
                  <c:v>16</c:v>
                </c:pt>
                <c:pt idx="1">
                  <c:v>27</c:v>
                </c:pt>
                <c:pt idx="2">
                  <c:v>9</c:v>
                </c:pt>
                <c:pt idx="3">
                  <c:v>10</c:v>
                </c:pt>
              </c:numCache>
            </c:numRef>
          </c:val>
        </c:ser>
        <c:shape val="box"/>
        <c:axId val="116558080"/>
        <c:axId val="116703232"/>
        <c:axId val="0"/>
      </c:bar3DChart>
      <c:catAx>
        <c:axId val="116558080"/>
        <c:scaling>
          <c:orientation val="minMax"/>
        </c:scaling>
        <c:axPos val="l"/>
        <c:tickLblPos val="nextTo"/>
        <c:crossAx val="116703232"/>
        <c:crosses val="autoZero"/>
        <c:auto val="1"/>
        <c:lblAlgn val="ctr"/>
        <c:lblOffset val="100"/>
      </c:catAx>
      <c:valAx>
        <c:axId val="116703232"/>
        <c:scaling>
          <c:orientation val="minMax"/>
        </c:scaling>
        <c:delete val="1"/>
        <c:axPos val="b"/>
        <c:majorGridlines>
          <c:spPr>
            <a:ln>
              <a:solidFill>
                <a:sysClr val="window" lastClr="FFFFFF"/>
              </a:solidFill>
            </a:ln>
          </c:spPr>
        </c:majorGridlines>
        <c:numFmt formatCode="General" sourceLinked="1"/>
        <c:tickLblPos val="nextTo"/>
        <c:crossAx val="116558080"/>
        <c:crosses val="autoZero"/>
        <c:crossBetween val="between"/>
      </c:valAx>
    </c:plotArea>
    <c:legend>
      <c:legendPos val="b"/>
    </c:legend>
    <c:plotVisOnly val="1"/>
  </c:chart>
  <c:spPr>
    <a:ln>
      <a:noFill/>
    </a:ln>
  </c:spPr>
  <c:txPr>
    <a:bodyPr/>
    <a:lstStyle/>
    <a:p>
      <a:pPr>
        <a:defRPr>
          <a:latin typeface="Constantia"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dLbls>
            <c:showVal val="1"/>
          </c:dLbls>
          <c:cat>
            <c:strRef>
              <c:f>Sheet2!$M$206:$M$209</c:f>
              <c:strCache>
                <c:ptCount val="4"/>
                <c:pt idx="0">
                  <c:v>Posedovanje prvog automobila</c:v>
                </c:pt>
                <c:pt idx="1">
                  <c:v>Posedovanje drugog automobila</c:v>
                </c:pt>
                <c:pt idx="2">
                  <c:v>Posedovanje lakog dostavnog vozila</c:v>
                </c:pt>
                <c:pt idx="3">
                  <c:v>Posedovanje motocikla</c:v>
                </c:pt>
              </c:strCache>
            </c:strRef>
          </c:cat>
          <c:val>
            <c:numRef>
              <c:f>Sheet2!$N$206:$N$209</c:f>
              <c:numCache>
                <c:formatCode>General</c:formatCode>
                <c:ptCount val="4"/>
                <c:pt idx="0">
                  <c:v>52</c:v>
                </c:pt>
                <c:pt idx="1">
                  <c:v>4</c:v>
                </c:pt>
                <c:pt idx="2">
                  <c:v>1</c:v>
                </c:pt>
                <c:pt idx="3">
                  <c:v>8</c:v>
                </c:pt>
              </c:numCache>
            </c:numRef>
          </c:val>
        </c:ser>
        <c:axId val="116731264"/>
        <c:axId val="116745344"/>
      </c:barChart>
      <c:catAx>
        <c:axId val="116731264"/>
        <c:scaling>
          <c:orientation val="minMax"/>
        </c:scaling>
        <c:axPos val="l"/>
        <c:tickLblPos val="nextTo"/>
        <c:crossAx val="116745344"/>
        <c:crosses val="autoZero"/>
        <c:auto val="1"/>
        <c:lblAlgn val="ctr"/>
        <c:lblOffset val="100"/>
      </c:catAx>
      <c:valAx>
        <c:axId val="116745344"/>
        <c:scaling>
          <c:orientation val="minMax"/>
        </c:scaling>
        <c:delete val="1"/>
        <c:axPos val="b"/>
        <c:majorGridlines>
          <c:spPr>
            <a:ln>
              <a:solidFill>
                <a:sysClr val="window" lastClr="FFFFFF"/>
              </a:solidFill>
            </a:ln>
          </c:spPr>
        </c:majorGridlines>
        <c:numFmt formatCode="General" sourceLinked="1"/>
        <c:tickLblPos val="nextTo"/>
        <c:crossAx val="116731264"/>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4426010606518649E-2"/>
          <c:y val="0"/>
          <c:w val="0.95114797878696256"/>
          <c:h val="0.53118557462603455"/>
        </c:manualLayout>
      </c:layout>
      <c:barChart>
        <c:barDir val="col"/>
        <c:grouping val="clustered"/>
        <c:ser>
          <c:idx val="0"/>
          <c:order val="0"/>
          <c:dLbls>
            <c:dLbl>
              <c:idx val="0"/>
              <c:layout>
                <c:manualLayout>
                  <c:x val="0"/>
                  <c:y val="0"/>
                </c:manualLayout>
              </c:layout>
              <c:showVal val="1"/>
            </c:dLbl>
            <c:showVal val="1"/>
          </c:dLbls>
          <c:cat>
            <c:strRef>
              <c:f>Sheet3!$C$4:$C$8</c:f>
              <c:strCache>
                <c:ptCount val="5"/>
                <c:pt idx="0">
                  <c:v>1-150</c:v>
                </c:pt>
                <c:pt idx="1">
                  <c:v>151-400</c:v>
                </c:pt>
                <c:pt idx="2">
                  <c:v>401-800</c:v>
                </c:pt>
                <c:pt idx="3">
                  <c:v>801-1200</c:v>
                </c:pt>
                <c:pt idx="4">
                  <c:v>Više od 1200</c:v>
                </c:pt>
              </c:strCache>
            </c:strRef>
          </c:cat>
          <c:val>
            <c:numRef>
              <c:f>Sheet3!$D$4:$D$8</c:f>
              <c:numCache>
                <c:formatCode>General</c:formatCode>
                <c:ptCount val="5"/>
                <c:pt idx="0">
                  <c:v>35</c:v>
                </c:pt>
                <c:pt idx="1">
                  <c:v>22</c:v>
                </c:pt>
                <c:pt idx="2">
                  <c:v>21</c:v>
                </c:pt>
                <c:pt idx="3">
                  <c:v>12</c:v>
                </c:pt>
                <c:pt idx="4">
                  <c:v>10</c:v>
                </c:pt>
              </c:numCache>
            </c:numRef>
          </c:val>
        </c:ser>
        <c:axId val="118346112"/>
        <c:axId val="118347648"/>
      </c:barChart>
      <c:catAx>
        <c:axId val="118346112"/>
        <c:scaling>
          <c:orientation val="minMax"/>
        </c:scaling>
        <c:axPos val="b"/>
        <c:tickLblPos val="nextTo"/>
        <c:crossAx val="118347648"/>
        <c:crosses val="autoZero"/>
        <c:auto val="1"/>
        <c:lblAlgn val="ctr"/>
        <c:lblOffset val="100"/>
      </c:catAx>
      <c:valAx>
        <c:axId val="118347648"/>
        <c:scaling>
          <c:orientation val="minMax"/>
        </c:scaling>
        <c:delete val="1"/>
        <c:axPos val="l"/>
        <c:majorGridlines>
          <c:spPr>
            <a:ln>
              <a:solidFill>
                <a:schemeClr val="bg1"/>
              </a:solidFill>
            </a:ln>
          </c:spPr>
        </c:majorGridlines>
        <c:numFmt formatCode="General" sourceLinked="1"/>
        <c:tickLblPos val="nextTo"/>
        <c:crossAx val="118346112"/>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Sheet3!$C$18:$C$22</c:f>
              <c:strCache>
                <c:ptCount val="5"/>
                <c:pt idx="0">
                  <c:v>1-1500</c:v>
                </c:pt>
                <c:pt idx="1">
                  <c:v>1501-3000</c:v>
                </c:pt>
                <c:pt idx="2">
                  <c:v>3001-6000</c:v>
                </c:pt>
                <c:pt idx="3">
                  <c:v>6001-9000</c:v>
                </c:pt>
                <c:pt idx="4">
                  <c:v>Više od 9001</c:v>
                </c:pt>
              </c:strCache>
            </c:strRef>
          </c:cat>
          <c:val>
            <c:numRef>
              <c:f>Sheet3!$D$18:$D$22</c:f>
              <c:numCache>
                <c:formatCode>General</c:formatCode>
                <c:ptCount val="5"/>
                <c:pt idx="0">
                  <c:v>20</c:v>
                </c:pt>
                <c:pt idx="1">
                  <c:v>26</c:v>
                </c:pt>
                <c:pt idx="2">
                  <c:v>30</c:v>
                </c:pt>
                <c:pt idx="3">
                  <c:v>7</c:v>
                </c:pt>
                <c:pt idx="4">
                  <c:v>17</c:v>
                </c:pt>
              </c:numCache>
            </c:numRef>
          </c:val>
        </c:ser>
        <c:axId val="118375552"/>
        <c:axId val="118377088"/>
      </c:barChart>
      <c:catAx>
        <c:axId val="118375552"/>
        <c:scaling>
          <c:orientation val="minMax"/>
        </c:scaling>
        <c:axPos val="b"/>
        <c:tickLblPos val="nextTo"/>
        <c:crossAx val="118377088"/>
        <c:crosses val="autoZero"/>
        <c:auto val="1"/>
        <c:lblAlgn val="ctr"/>
        <c:lblOffset val="100"/>
      </c:catAx>
      <c:valAx>
        <c:axId val="118377088"/>
        <c:scaling>
          <c:orientation val="minMax"/>
        </c:scaling>
        <c:delete val="1"/>
        <c:axPos val="l"/>
        <c:majorGridlines>
          <c:spPr>
            <a:ln>
              <a:solidFill>
                <a:sysClr val="window" lastClr="FFFFFF"/>
              </a:solidFill>
            </a:ln>
          </c:spPr>
        </c:majorGridlines>
        <c:numFmt formatCode="General" sourceLinked="1"/>
        <c:tickLblPos val="nextTo"/>
        <c:crossAx val="118375552"/>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2889545056867887E-2"/>
          <c:y val="3.7037037037037056E-2"/>
          <c:w val="0.53888888888888964"/>
          <c:h val="0.89814814814814814"/>
        </c:manualLayout>
      </c:layout>
      <c:pieChart>
        <c:varyColors val="1"/>
        <c:ser>
          <c:idx val="0"/>
          <c:order val="0"/>
          <c:dLbls>
            <c:showVal val="1"/>
            <c:showLeaderLines val="1"/>
          </c:dLbls>
          <c:cat>
            <c:strRef>
              <c:f>Sheet2!$D$248:$D$251</c:f>
              <c:strCache>
                <c:ptCount val="4"/>
                <c:pt idx="0">
                  <c:v>Ne koristi uopšte lokalni prevoz</c:v>
                </c:pt>
                <c:pt idx="1">
                  <c:v>Koristi samo gradski prevoz</c:v>
                </c:pt>
                <c:pt idx="2">
                  <c:v>Koristi i gradski i prigradski</c:v>
                </c:pt>
                <c:pt idx="3">
                  <c:v>Koristi samo prigradski</c:v>
                </c:pt>
              </c:strCache>
            </c:strRef>
          </c:cat>
          <c:val>
            <c:numRef>
              <c:f>Sheet2!$E$248:$E$251</c:f>
              <c:numCache>
                <c:formatCode>General</c:formatCode>
                <c:ptCount val="4"/>
                <c:pt idx="0">
                  <c:v>77</c:v>
                </c:pt>
                <c:pt idx="1">
                  <c:v>1</c:v>
                </c:pt>
                <c:pt idx="2">
                  <c:v>11</c:v>
                </c:pt>
                <c:pt idx="3">
                  <c:v>11</c:v>
                </c:pt>
              </c:numCache>
            </c:numRef>
          </c:val>
        </c:ser>
        <c:firstSliceAng val="0"/>
      </c:pieChart>
    </c:plotArea>
    <c:legend>
      <c:legendPos val="r"/>
    </c:legend>
    <c:plotVisOnly val="1"/>
  </c:chart>
  <c:spPr>
    <a:ln>
      <a:noFill/>
    </a:ln>
  </c:spPr>
  <c:txPr>
    <a:bodyPr/>
    <a:lstStyle/>
    <a:p>
      <a:pPr>
        <a:defRPr>
          <a:latin typeface="Constantia"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Sheet1!$E$45</c:f>
              <c:strCache>
                <c:ptCount val="1"/>
                <c:pt idx="0">
                  <c:v>Grejanje je odličnog kvaliteta</c:v>
                </c:pt>
              </c:strCache>
            </c:strRef>
          </c:tx>
          <c:marker>
            <c:symbol val="none"/>
          </c:marker>
          <c:dLbls>
            <c:dLbl>
              <c:idx val="0"/>
              <c:layout>
                <c:manualLayout>
                  <c:x val="-1.0162601626016262E-2"/>
                  <c:y val="3.2520325203252036E-2"/>
                </c:manualLayout>
              </c:layout>
              <c:tx>
                <c:rich>
                  <a:bodyPr/>
                  <a:lstStyle/>
                  <a:p>
                    <a:r>
                      <a:rPr lang="en-US"/>
                      <a:t>67</a:t>
                    </a:r>
                  </a:p>
                </c:rich>
              </c:tx>
              <c:showVal val="1"/>
            </c:dLbl>
            <c:dLbl>
              <c:idx val="1"/>
              <c:tx>
                <c:rich>
                  <a:bodyPr/>
                  <a:lstStyle/>
                  <a:p>
                    <a:r>
                      <a:rPr lang="en-US"/>
                      <a:t>72</a:t>
                    </a:r>
                  </a:p>
                </c:rich>
              </c:tx>
              <c:showVal val="1"/>
            </c:dLbl>
            <c:dLbl>
              <c:idx val="2"/>
              <c:layout>
                <c:manualLayout>
                  <c:x val="-4.0650406504065054E-3"/>
                  <c:y val="-4.3360433604336064E-2"/>
                </c:manualLayout>
              </c:layout>
              <c:tx>
                <c:rich>
                  <a:bodyPr/>
                  <a:lstStyle/>
                  <a:p>
                    <a:r>
                      <a:rPr lang="en-US"/>
                      <a:t>50</a:t>
                    </a:r>
                  </a:p>
                </c:rich>
              </c:tx>
              <c:showVal val="1"/>
            </c:dLbl>
            <c:dLbl>
              <c:idx val="3"/>
              <c:layout>
                <c:manualLayout>
                  <c:x val="-2.3024594453165868E-2"/>
                  <c:y val="5.2980114032395123E-2"/>
                </c:manualLayout>
              </c:layout>
              <c:tx>
                <c:rich>
                  <a:bodyPr/>
                  <a:lstStyle/>
                  <a:p>
                    <a:r>
                      <a:rPr lang="en-US"/>
                      <a:t>36</a:t>
                    </a:r>
                  </a:p>
                </c:rich>
              </c:tx>
              <c:showVal val="1"/>
            </c:dLbl>
            <c:dLbl>
              <c:idx val="4"/>
              <c:layout>
                <c:manualLayout>
                  <c:x val="-2.3024594453165868E-2"/>
                  <c:y val="-4.8565104529695417E-2"/>
                </c:manualLayout>
              </c:layout>
              <c:tx>
                <c:rich>
                  <a:bodyPr/>
                  <a:lstStyle/>
                  <a:p>
                    <a:r>
                      <a:rPr lang="en-US"/>
                      <a:t>46</a:t>
                    </a:r>
                  </a:p>
                </c:rich>
              </c:tx>
              <c:showVal val="1"/>
            </c:dLbl>
            <c:showVal val="1"/>
          </c:dLbls>
          <c:cat>
            <c:strRef>
              <c:f>Sheet1!$D$46:$D$50</c:f>
              <c:strCache>
                <c:ptCount val="5"/>
                <c:pt idx="0">
                  <c:v>Toplana</c:v>
                </c:pt>
                <c:pt idx="1">
                  <c:v>Etažno grejanje </c:v>
                </c:pt>
                <c:pt idx="2">
                  <c:v>Električni aparati</c:v>
                </c:pt>
                <c:pt idx="3">
                  <c:v>Uređaji za grejanje</c:v>
                </c:pt>
                <c:pt idx="4">
                  <c:v>Prosek</c:v>
                </c:pt>
              </c:strCache>
            </c:strRef>
          </c:cat>
          <c:val>
            <c:numRef>
              <c:f>Sheet1!$E$46:$E$50</c:f>
              <c:numCache>
                <c:formatCode>0%</c:formatCode>
                <c:ptCount val="5"/>
                <c:pt idx="0">
                  <c:v>0.6670000000000037</c:v>
                </c:pt>
                <c:pt idx="1">
                  <c:v>0.72100000000000064</c:v>
                </c:pt>
                <c:pt idx="2">
                  <c:v>0.5</c:v>
                </c:pt>
                <c:pt idx="3">
                  <c:v>0.36100000000000032</c:v>
                </c:pt>
                <c:pt idx="4">
                  <c:v>0.45800000000000002</c:v>
                </c:pt>
              </c:numCache>
            </c:numRef>
          </c:val>
        </c:ser>
        <c:ser>
          <c:idx val="1"/>
          <c:order val="1"/>
          <c:tx>
            <c:strRef>
              <c:f>Sheet1!$F$45</c:f>
              <c:strCache>
                <c:ptCount val="1"/>
                <c:pt idx="0">
                  <c:v>Grejanje je dobro, ali je zagušljivo</c:v>
                </c:pt>
              </c:strCache>
            </c:strRef>
          </c:tx>
          <c:marker>
            <c:symbol val="none"/>
          </c:marker>
          <c:cat>
            <c:strRef>
              <c:f>Sheet1!$D$46:$D$50</c:f>
              <c:strCache>
                <c:ptCount val="5"/>
                <c:pt idx="0">
                  <c:v>Toplana</c:v>
                </c:pt>
                <c:pt idx="1">
                  <c:v>Etažno grejanje </c:v>
                </c:pt>
                <c:pt idx="2">
                  <c:v>Električni aparati</c:v>
                </c:pt>
                <c:pt idx="3">
                  <c:v>Uređaji za grejanje</c:v>
                </c:pt>
                <c:pt idx="4">
                  <c:v>Prosek</c:v>
                </c:pt>
              </c:strCache>
            </c:strRef>
          </c:cat>
          <c:val>
            <c:numRef>
              <c:f>Sheet1!$F$46:$F$50</c:f>
              <c:numCache>
                <c:formatCode>0%</c:formatCode>
                <c:ptCount val="5"/>
                <c:pt idx="0">
                  <c:v>2.4E-2</c:v>
                </c:pt>
                <c:pt idx="1">
                  <c:v>1.6000000000000021E-2</c:v>
                </c:pt>
                <c:pt idx="3">
                  <c:v>7.0999999999999994E-2</c:v>
                </c:pt>
                <c:pt idx="4">
                  <c:v>5.3000000000000012E-2</c:v>
                </c:pt>
              </c:numCache>
            </c:numRef>
          </c:val>
        </c:ser>
        <c:ser>
          <c:idx val="2"/>
          <c:order val="2"/>
          <c:tx>
            <c:strRef>
              <c:f>Sheet1!$G$45</c:f>
              <c:strCache>
                <c:ptCount val="1"/>
                <c:pt idx="0">
                  <c:v>Grejanje je dobro, ali bi moglo da bude toplije</c:v>
                </c:pt>
              </c:strCache>
            </c:strRef>
          </c:tx>
          <c:marker>
            <c:symbol val="none"/>
          </c:marker>
          <c:dLbls>
            <c:dLbl>
              <c:idx val="0"/>
              <c:layout>
                <c:manualLayout>
                  <c:x val="-8.3725798011513239E-3"/>
                  <c:y val="5.2980114032395123E-2"/>
                </c:manualLayout>
              </c:layout>
              <c:tx>
                <c:rich>
                  <a:bodyPr/>
                  <a:lstStyle/>
                  <a:p>
                    <a:r>
                      <a:rPr lang="en-US"/>
                      <a:t>24</a:t>
                    </a:r>
                  </a:p>
                </c:rich>
              </c:tx>
              <c:showVal val="1"/>
            </c:dLbl>
            <c:dLbl>
              <c:idx val="1"/>
              <c:tx>
                <c:rich>
                  <a:bodyPr/>
                  <a:lstStyle/>
                  <a:p>
                    <a:r>
                      <a:rPr lang="en-US"/>
                      <a:t>26</a:t>
                    </a:r>
                  </a:p>
                </c:rich>
              </c:tx>
              <c:showVal val="1"/>
            </c:dLbl>
            <c:dLbl>
              <c:idx val="2"/>
              <c:layout>
                <c:manualLayout>
                  <c:x val="-1.4652014652014652E-2"/>
                  <c:y val="4.8565104529695459E-2"/>
                </c:manualLayout>
              </c:layout>
              <c:tx>
                <c:rich>
                  <a:bodyPr/>
                  <a:lstStyle/>
                  <a:p>
                    <a:r>
                      <a:rPr lang="en-US"/>
                      <a:t>46</a:t>
                    </a:r>
                  </a:p>
                </c:rich>
              </c:tx>
              <c:showVal val="1"/>
            </c:dLbl>
            <c:dLbl>
              <c:idx val="3"/>
              <c:layout>
                <c:manualLayout>
                  <c:x val="-1.686639779783625E-2"/>
                  <c:y val="-3.7330089836331425E-2"/>
                </c:manualLayout>
              </c:layout>
              <c:tx>
                <c:rich>
                  <a:bodyPr/>
                  <a:lstStyle/>
                  <a:p>
                    <a:r>
                      <a:rPr lang="en-US"/>
                      <a:t>51</a:t>
                    </a:r>
                  </a:p>
                </c:rich>
              </c:tx>
              <c:showVal val="1"/>
            </c:dLbl>
            <c:dLbl>
              <c:idx val="4"/>
              <c:layout>
                <c:manualLayout>
                  <c:x val="-1.6745159602302641E-2"/>
                  <c:y val="4.4150095026995892E-2"/>
                </c:manualLayout>
              </c:layout>
              <c:tx>
                <c:rich>
                  <a:bodyPr/>
                  <a:lstStyle/>
                  <a:p>
                    <a:r>
                      <a:rPr lang="en-US"/>
                      <a:t>44</a:t>
                    </a:r>
                  </a:p>
                </c:rich>
              </c:tx>
              <c:showVal val="1"/>
            </c:dLbl>
            <c:showVal val="1"/>
          </c:dLbls>
          <c:cat>
            <c:strRef>
              <c:f>Sheet1!$D$46:$D$50</c:f>
              <c:strCache>
                <c:ptCount val="5"/>
                <c:pt idx="0">
                  <c:v>Toplana</c:v>
                </c:pt>
                <c:pt idx="1">
                  <c:v>Etažno grejanje </c:v>
                </c:pt>
                <c:pt idx="2">
                  <c:v>Električni aparati</c:v>
                </c:pt>
                <c:pt idx="3">
                  <c:v>Uređaji za grejanje</c:v>
                </c:pt>
                <c:pt idx="4">
                  <c:v>Prosek</c:v>
                </c:pt>
              </c:strCache>
            </c:strRef>
          </c:cat>
          <c:val>
            <c:numRef>
              <c:f>Sheet1!$G$46:$G$50</c:f>
              <c:numCache>
                <c:formatCode>0%</c:formatCode>
                <c:ptCount val="5"/>
                <c:pt idx="0">
                  <c:v>0.23800000000000004</c:v>
                </c:pt>
                <c:pt idx="1">
                  <c:v>0.26200000000000001</c:v>
                </c:pt>
                <c:pt idx="2">
                  <c:v>0.46400000000000002</c:v>
                </c:pt>
                <c:pt idx="3">
                  <c:v>0.50800000000000001</c:v>
                </c:pt>
                <c:pt idx="4">
                  <c:v>0.43800000000000139</c:v>
                </c:pt>
              </c:numCache>
            </c:numRef>
          </c:val>
        </c:ser>
        <c:ser>
          <c:idx val="3"/>
          <c:order val="3"/>
          <c:tx>
            <c:strRef>
              <c:f>Sheet1!$H$45</c:f>
              <c:strCache>
                <c:ptCount val="1"/>
                <c:pt idx="0">
                  <c:v>Grejanje je loše, veoma je hladno</c:v>
                </c:pt>
              </c:strCache>
            </c:strRef>
          </c:tx>
          <c:marker>
            <c:symbol val="none"/>
          </c:marker>
          <c:dLbls>
            <c:dLbl>
              <c:idx val="0"/>
              <c:tx>
                <c:rich>
                  <a:bodyPr/>
                  <a:lstStyle/>
                  <a:p>
                    <a:r>
                      <a:rPr lang="en-US"/>
                      <a:t>7</a:t>
                    </a:r>
                  </a:p>
                </c:rich>
              </c:tx>
              <c:showVal val="1"/>
            </c:dLbl>
            <c:dLbl>
              <c:idx val="2"/>
              <c:layout>
                <c:manualLayout>
                  <c:x val="-4.3956043956044133E-2"/>
                  <c:y val="-1.3245028508098841E-2"/>
                </c:manualLayout>
              </c:layout>
              <c:tx>
                <c:rich>
                  <a:bodyPr/>
                  <a:lstStyle/>
                  <a:p>
                    <a:r>
                      <a:rPr lang="en-US"/>
                      <a:t>4</a:t>
                    </a:r>
                  </a:p>
                </c:rich>
              </c:tx>
              <c:showVal val="1"/>
            </c:dLbl>
            <c:dLbl>
              <c:idx val="3"/>
              <c:layout>
                <c:manualLayout>
                  <c:x val="-3.1397174254317109E-2"/>
                  <c:y val="-7.0640152043193308E-2"/>
                </c:manualLayout>
              </c:layout>
              <c:tx>
                <c:rich>
                  <a:bodyPr/>
                  <a:lstStyle/>
                  <a:p>
                    <a:r>
                      <a:rPr lang="en-US"/>
                      <a:t>6</a:t>
                    </a:r>
                  </a:p>
                </c:rich>
              </c:tx>
              <c:showVal val="1"/>
            </c:dLbl>
            <c:dLbl>
              <c:idx val="4"/>
              <c:tx>
                <c:rich>
                  <a:bodyPr/>
                  <a:lstStyle/>
                  <a:p>
                    <a:r>
                      <a:rPr lang="en-US"/>
                      <a:t>5</a:t>
                    </a:r>
                  </a:p>
                </c:rich>
              </c:tx>
              <c:showVal val="1"/>
            </c:dLbl>
            <c:showVal val="1"/>
          </c:dLbls>
          <c:cat>
            <c:strRef>
              <c:f>Sheet1!$D$46:$D$50</c:f>
              <c:strCache>
                <c:ptCount val="5"/>
                <c:pt idx="0">
                  <c:v>Toplana</c:v>
                </c:pt>
                <c:pt idx="1">
                  <c:v>Etažno grejanje </c:v>
                </c:pt>
                <c:pt idx="2">
                  <c:v>Električni aparati</c:v>
                </c:pt>
                <c:pt idx="3">
                  <c:v>Uređaji za grejanje</c:v>
                </c:pt>
                <c:pt idx="4">
                  <c:v>Prosek</c:v>
                </c:pt>
              </c:strCache>
            </c:strRef>
          </c:cat>
          <c:val>
            <c:numRef>
              <c:f>Sheet1!$H$46:$H$50</c:f>
              <c:numCache>
                <c:formatCode>General</c:formatCode>
                <c:ptCount val="5"/>
                <c:pt idx="0" formatCode="0%">
                  <c:v>7.0999999999999994E-2</c:v>
                </c:pt>
                <c:pt idx="2" formatCode="0%">
                  <c:v>3.5999999999999997E-2</c:v>
                </c:pt>
                <c:pt idx="3" formatCode="0%">
                  <c:v>6.0000000000000032E-2</c:v>
                </c:pt>
                <c:pt idx="4" formatCode="0%">
                  <c:v>0.05</c:v>
                </c:pt>
              </c:numCache>
            </c:numRef>
          </c:val>
        </c:ser>
        <c:marker val="1"/>
        <c:axId val="108136704"/>
        <c:axId val="108154880"/>
      </c:lineChart>
      <c:catAx>
        <c:axId val="108136704"/>
        <c:scaling>
          <c:orientation val="minMax"/>
        </c:scaling>
        <c:axPos val="b"/>
        <c:tickLblPos val="nextTo"/>
        <c:crossAx val="108154880"/>
        <c:crosses val="autoZero"/>
        <c:auto val="1"/>
        <c:lblAlgn val="ctr"/>
        <c:lblOffset val="100"/>
      </c:catAx>
      <c:valAx>
        <c:axId val="108154880"/>
        <c:scaling>
          <c:orientation val="minMax"/>
        </c:scaling>
        <c:delete val="1"/>
        <c:axPos val="l"/>
        <c:majorGridlines>
          <c:spPr>
            <a:ln>
              <a:solidFill>
                <a:schemeClr val="bg1"/>
              </a:solidFill>
            </a:ln>
          </c:spPr>
        </c:majorGridlines>
        <c:numFmt formatCode="0%" sourceLinked="1"/>
        <c:tickLblPos val="nextTo"/>
        <c:crossAx val="108136704"/>
        <c:crosses val="autoZero"/>
        <c:crossBetween val="between"/>
      </c:valAx>
    </c:plotArea>
    <c:legend>
      <c:legendPos val="r"/>
      <c:layout>
        <c:manualLayout>
          <c:xMode val="edge"/>
          <c:yMode val="edge"/>
          <c:x val="0.64837398373983735"/>
          <c:y val="0.11053282973774595"/>
          <c:w val="0.31300813008130085"/>
          <c:h val="0.75725412372233958"/>
        </c:manualLayout>
      </c:layout>
    </c:legend>
    <c:plotVisOnly val="1"/>
  </c:chart>
  <c:spPr>
    <a:ln>
      <a:noFill/>
    </a:ln>
  </c:spPr>
  <c:txPr>
    <a:bodyPr/>
    <a:lstStyle/>
    <a:p>
      <a:pPr>
        <a:defRPr>
          <a:latin typeface="Constantia"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Sheet1!$E$69</c:f>
              <c:strCache>
                <c:ptCount val="1"/>
                <c:pt idx="0">
                  <c:v>Sve prostorije podjednako</c:v>
                </c:pt>
              </c:strCache>
            </c:strRef>
          </c:tx>
          <c:spPr>
            <a:solidFill>
              <a:srgbClr val="00B0F0"/>
            </a:solidFill>
          </c:spPr>
          <c:dLbls>
            <c:dLbl>
              <c:idx val="0"/>
              <c:tx>
                <c:rich>
                  <a:bodyPr/>
                  <a:lstStyle/>
                  <a:p>
                    <a:r>
                      <a:rPr lang="en-US"/>
                      <a:t>79</a:t>
                    </a:r>
                  </a:p>
                </c:rich>
              </c:tx>
              <c:showVal val="1"/>
            </c:dLbl>
            <c:dLbl>
              <c:idx val="1"/>
              <c:tx>
                <c:rich>
                  <a:bodyPr/>
                  <a:lstStyle/>
                  <a:p>
                    <a:r>
                      <a:rPr lang="en-US"/>
                      <a:t>82</a:t>
                    </a:r>
                  </a:p>
                </c:rich>
              </c:tx>
              <c:showVal val="1"/>
            </c:dLbl>
            <c:dLbl>
              <c:idx val="2"/>
              <c:tx>
                <c:rich>
                  <a:bodyPr/>
                  <a:lstStyle/>
                  <a:p>
                    <a:r>
                      <a:rPr lang="en-US"/>
                      <a:t>36</a:t>
                    </a:r>
                  </a:p>
                </c:rich>
              </c:tx>
              <c:showVal val="1"/>
            </c:dLbl>
            <c:dLbl>
              <c:idx val="3"/>
              <c:tx>
                <c:rich>
                  <a:bodyPr/>
                  <a:lstStyle/>
                  <a:p>
                    <a:r>
                      <a:rPr lang="en-US"/>
                      <a:t>22</a:t>
                    </a:r>
                  </a:p>
                </c:rich>
              </c:tx>
              <c:showVal val="1"/>
            </c:dLbl>
            <c:dLbl>
              <c:idx val="4"/>
              <c:tx>
                <c:rich>
                  <a:bodyPr/>
                  <a:lstStyle/>
                  <a:p>
                    <a:r>
                      <a:rPr lang="en-US"/>
                      <a:t>38</a:t>
                    </a:r>
                  </a:p>
                </c:rich>
              </c:tx>
              <c:showVal val="1"/>
            </c:dLbl>
            <c:showVal val="1"/>
          </c:dLbls>
          <c:cat>
            <c:strRef>
              <c:f>Sheet1!$D$70:$D$74</c:f>
              <c:strCache>
                <c:ptCount val="5"/>
                <c:pt idx="0">
                  <c:v>Toplana</c:v>
                </c:pt>
                <c:pt idx="1">
                  <c:v>Etažno grejanje </c:v>
                </c:pt>
                <c:pt idx="2">
                  <c:v>Električni aparati </c:v>
                </c:pt>
                <c:pt idx="3">
                  <c:v>Uređaji za grejanje </c:v>
                </c:pt>
                <c:pt idx="4">
                  <c:v>Prosek</c:v>
                </c:pt>
              </c:strCache>
            </c:strRef>
          </c:cat>
          <c:val>
            <c:numRef>
              <c:f>Sheet1!$E$70:$E$74</c:f>
              <c:numCache>
                <c:formatCode>0%</c:formatCode>
                <c:ptCount val="5"/>
                <c:pt idx="0">
                  <c:v>0.78600000000000003</c:v>
                </c:pt>
                <c:pt idx="1">
                  <c:v>0.82000000000000062</c:v>
                </c:pt>
                <c:pt idx="2">
                  <c:v>0.35700000000000032</c:v>
                </c:pt>
                <c:pt idx="3">
                  <c:v>0.21600000000000041</c:v>
                </c:pt>
                <c:pt idx="4">
                  <c:v>0.37800000000000139</c:v>
                </c:pt>
              </c:numCache>
            </c:numRef>
          </c:val>
        </c:ser>
        <c:ser>
          <c:idx val="1"/>
          <c:order val="1"/>
          <c:tx>
            <c:strRef>
              <c:f>Sheet1!$F$69</c:f>
              <c:strCache>
                <c:ptCount val="1"/>
                <c:pt idx="0">
                  <c:v>Samo one prostorije u kojima najviše boravite</c:v>
                </c:pt>
              </c:strCache>
            </c:strRef>
          </c:tx>
          <c:spPr>
            <a:solidFill>
              <a:srgbClr val="FFC000"/>
            </a:solidFill>
          </c:spPr>
          <c:dLbls>
            <c:dLbl>
              <c:idx val="0"/>
              <c:tx>
                <c:rich>
                  <a:bodyPr/>
                  <a:lstStyle/>
                  <a:p>
                    <a:r>
                      <a:rPr lang="en-US"/>
                      <a:t>17</a:t>
                    </a:r>
                  </a:p>
                </c:rich>
              </c:tx>
              <c:showVal val="1"/>
            </c:dLbl>
            <c:dLbl>
              <c:idx val="1"/>
              <c:tx>
                <c:rich>
                  <a:bodyPr/>
                  <a:lstStyle/>
                  <a:p>
                    <a:r>
                      <a:rPr lang="en-US"/>
                      <a:t>15</a:t>
                    </a:r>
                  </a:p>
                </c:rich>
              </c:tx>
              <c:showVal val="1"/>
            </c:dLbl>
            <c:dLbl>
              <c:idx val="2"/>
              <c:tx>
                <c:rich>
                  <a:bodyPr/>
                  <a:lstStyle/>
                  <a:p>
                    <a:r>
                      <a:rPr lang="en-US"/>
                      <a:t>57</a:t>
                    </a:r>
                  </a:p>
                </c:rich>
              </c:tx>
              <c:showVal val="1"/>
            </c:dLbl>
            <c:dLbl>
              <c:idx val="3"/>
              <c:tx>
                <c:rich>
                  <a:bodyPr/>
                  <a:lstStyle/>
                  <a:p>
                    <a:r>
                      <a:rPr lang="en-US"/>
                      <a:t>63</a:t>
                    </a:r>
                  </a:p>
                </c:rich>
              </c:tx>
              <c:showVal val="1"/>
            </c:dLbl>
            <c:dLbl>
              <c:idx val="4"/>
              <c:tx>
                <c:rich>
                  <a:bodyPr/>
                  <a:lstStyle/>
                  <a:p>
                    <a:r>
                      <a:rPr lang="en-US"/>
                      <a:t>50</a:t>
                    </a:r>
                  </a:p>
                </c:rich>
              </c:tx>
              <c:showVal val="1"/>
            </c:dLbl>
            <c:showVal val="1"/>
          </c:dLbls>
          <c:cat>
            <c:strRef>
              <c:f>Sheet1!$D$70:$D$74</c:f>
              <c:strCache>
                <c:ptCount val="5"/>
                <c:pt idx="0">
                  <c:v>Toplana</c:v>
                </c:pt>
                <c:pt idx="1">
                  <c:v>Etažno grejanje </c:v>
                </c:pt>
                <c:pt idx="2">
                  <c:v>Električni aparati </c:v>
                </c:pt>
                <c:pt idx="3">
                  <c:v>Uređaji za grejanje </c:v>
                </c:pt>
                <c:pt idx="4">
                  <c:v>Prosek</c:v>
                </c:pt>
              </c:strCache>
            </c:strRef>
          </c:cat>
          <c:val>
            <c:numRef>
              <c:f>Sheet1!$F$70:$F$74</c:f>
              <c:numCache>
                <c:formatCode>0%</c:formatCode>
                <c:ptCount val="5"/>
                <c:pt idx="0">
                  <c:v>0.16700000000000001</c:v>
                </c:pt>
                <c:pt idx="1">
                  <c:v>0.14800000000000021</c:v>
                </c:pt>
                <c:pt idx="2">
                  <c:v>0.57099999999999995</c:v>
                </c:pt>
                <c:pt idx="3">
                  <c:v>0.63100000000000311</c:v>
                </c:pt>
                <c:pt idx="4">
                  <c:v>0.504</c:v>
                </c:pt>
              </c:numCache>
            </c:numRef>
          </c:val>
        </c:ser>
        <c:ser>
          <c:idx val="2"/>
          <c:order val="2"/>
          <c:tx>
            <c:strRef>
              <c:f>Sheet1!$G$69</c:f>
              <c:strCache>
                <c:ptCount val="1"/>
                <c:pt idx="0">
                  <c:v>Samo jednu prostoriju</c:v>
                </c:pt>
              </c:strCache>
            </c:strRef>
          </c:tx>
          <c:spPr>
            <a:solidFill>
              <a:srgbClr val="FF0000"/>
            </a:solidFill>
          </c:spPr>
          <c:dLbls>
            <c:dLbl>
              <c:idx val="0"/>
              <c:tx>
                <c:rich>
                  <a:bodyPr/>
                  <a:lstStyle/>
                  <a:p>
                    <a:r>
                      <a:rPr lang="en-US"/>
                      <a:t>5</a:t>
                    </a:r>
                  </a:p>
                </c:rich>
              </c:tx>
              <c:showVal val="1"/>
            </c:dLbl>
            <c:dLbl>
              <c:idx val="1"/>
              <c:tx>
                <c:rich>
                  <a:bodyPr/>
                  <a:lstStyle/>
                  <a:p>
                    <a:r>
                      <a:rPr lang="en-US"/>
                      <a:t>3</a:t>
                    </a:r>
                  </a:p>
                </c:rich>
              </c:tx>
              <c:showVal val="1"/>
            </c:dLbl>
            <c:dLbl>
              <c:idx val="2"/>
              <c:tx>
                <c:rich>
                  <a:bodyPr/>
                  <a:lstStyle/>
                  <a:p>
                    <a:r>
                      <a:rPr lang="en-US"/>
                      <a:t>7</a:t>
                    </a:r>
                  </a:p>
                </c:rich>
              </c:tx>
              <c:showVal val="1"/>
            </c:dLbl>
            <c:dLbl>
              <c:idx val="3"/>
              <c:tx>
                <c:rich>
                  <a:bodyPr/>
                  <a:lstStyle/>
                  <a:p>
                    <a:r>
                      <a:rPr lang="en-US"/>
                      <a:t>15</a:t>
                    </a:r>
                  </a:p>
                </c:rich>
              </c:tx>
              <c:showVal val="1"/>
            </c:dLbl>
            <c:dLbl>
              <c:idx val="4"/>
              <c:tx>
                <c:rich>
                  <a:bodyPr/>
                  <a:lstStyle/>
                  <a:p>
                    <a:r>
                      <a:rPr lang="en-US"/>
                      <a:t>12</a:t>
                    </a:r>
                  </a:p>
                </c:rich>
              </c:tx>
              <c:showVal val="1"/>
            </c:dLbl>
            <c:showVal val="1"/>
          </c:dLbls>
          <c:cat>
            <c:strRef>
              <c:f>Sheet1!$D$70:$D$74</c:f>
              <c:strCache>
                <c:ptCount val="5"/>
                <c:pt idx="0">
                  <c:v>Toplana</c:v>
                </c:pt>
                <c:pt idx="1">
                  <c:v>Etažno grejanje </c:v>
                </c:pt>
                <c:pt idx="2">
                  <c:v>Električni aparati </c:v>
                </c:pt>
                <c:pt idx="3">
                  <c:v>Uređaji za grejanje </c:v>
                </c:pt>
                <c:pt idx="4">
                  <c:v>Prosek</c:v>
                </c:pt>
              </c:strCache>
            </c:strRef>
          </c:cat>
          <c:val>
            <c:numRef>
              <c:f>Sheet1!$G$70:$G$74</c:f>
              <c:numCache>
                <c:formatCode>0%</c:formatCode>
                <c:ptCount val="5"/>
                <c:pt idx="0">
                  <c:v>4.8000000000000001E-2</c:v>
                </c:pt>
                <c:pt idx="1">
                  <c:v>3.3000000000000002E-2</c:v>
                </c:pt>
                <c:pt idx="2">
                  <c:v>7.0999999999999994E-2</c:v>
                </c:pt>
                <c:pt idx="3">
                  <c:v>0.15300000000000041</c:v>
                </c:pt>
                <c:pt idx="4">
                  <c:v>0.11799999999999998</c:v>
                </c:pt>
              </c:numCache>
            </c:numRef>
          </c:val>
        </c:ser>
        <c:axId val="108201856"/>
        <c:axId val="108203392"/>
      </c:barChart>
      <c:catAx>
        <c:axId val="108201856"/>
        <c:scaling>
          <c:orientation val="minMax"/>
        </c:scaling>
        <c:axPos val="b"/>
        <c:tickLblPos val="nextTo"/>
        <c:crossAx val="108203392"/>
        <c:crosses val="autoZero"/>
        <c:auto val="1"/>
        <c:lblAlgn val="ctr"/>
        <c:lblOffset val="100"/>
      </c:catAx>
      <c:valAx>
        <c:axId val="108203392"/>
        <c:scaling>
          <c:orientation val="minMax"/>
        </c:scaling>
        <c:delete val="1"/>
        <c:axPos val="l"/>
        <c:majorGridlines>
          <c:spPr>
            <a:ln>
              <a:solidFill>
                <a:sysClr val="window" lastClr="FFFFFF"/>
              </a:solidFill>
            </a:ln>
          </c:spPr>
        </c:majorGridlines>
        <c:numFmt formatCode="0%" sourceLinked="1"/>
        <c:tickLblPos val="nextTo"/>
        <c:crossAx val="108201856"/>
        <c:crosses val="autoZero"/>
        <c:crossBetween val="between"/>
      </c:valAx>
    </c:plotArea>
    <c:legend>
      <c:legendPos val="r"/>
      <c:layout>
        <c:manualLayout>
          <c:xMode val="edge"/>
          <c:yMode val="edge"/>
          <c:x val="0.71184318911924449"/>
          <c:y val="4.8559669353803313E-2"/>
          <c:w val="0.2242180069637485"/>
          <c:h val="0.86802712353771994"/>
        </c:manualLayout>
      </c:layout>
    </c:legend>
    <c:plotVisOnly val="1"/>
  </c:chart>
  <c:spPr>
    <a:ln>
      <a:noFill/>
    </a:ln>
  </c:spPr>
  <c:txPr>
    <a:bodyPr/>
    <a:lstStyle/>
    <a:p>
      <a:pPr>
        <a:defRPr>
          <a:latin typeface="Constantia"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percentStacked"/>
        <c:ser>
          <c:idx val="0"/>
          <c:order val="0"/>
          <c:tx>
            <c:strRef>
              <c:f>Sheet1!$V$210</c:f>
              <c:strCache>
                <c:ptCount val="1"/>
                <c:pt idx="0">
                  <c:v>Do trećine</c:v>
                </c:pt>
              </c:strCache>
            </c:strRef>
          </c:tx>
          <c:dLbls>
            <c:dLbl>
              <c:idx val="0"/>
              <c:tx>
                <c:rich>
                  <a:bodyPr/>
                  <a:lstStyle/>
                  <a:p>
                    <a:r>
                      <a:rPr lang="en-US" b="1">
                        <a:latin typeface="Times New Roman" pitchFamily="18" charset="0"/>
                        <a:cs typeface="Times New Roman" pitchFamily="18" charset="0"/>
                      </a:rPr>
                      <a:t>2</a:t>
                    </a:r>
                  </a:p>
                </c:rich>
              </c:tx>
              <c:showVal val="1"/>
            </c:dLbl>
            <c:dLbl>
              <c:idx val="1"/>
              <c:tx>
                <c:rich>
                  <a:bodyPr/>
                  <a:lstStyle/>
                  <a:p>
                    <a:r>
                      <a:rPr lang="en-US" b="1">
                        <a:latin typeface="Times New Roman" pitchFamily="18" charset="0"/>
                        <a:cs typeface="Times New Roman" pitchFamily="18" charset="0"/>
                      </a:rPr>
                      <a:t>4</a:t>
                    </a:r>
                  </a:p>
                </c:rich>
              </c:tx>
              <c:showVal val="1"/>
            </c:dLbl>
            <c:dLbl>
              <c:idx val="2"/>
              <c:tx>
                <c:rich>
                  <a:bodyPr/>
                  <a:lstStyle/>
                  <a:p>
                    <a:r>
                      <a:rPr lang="en-US" b="1">
                        <a:latin typeface="Times New Roman" pitchFamily="18" charset="0"/>
                        <a:cs typeface="Times New Roman" pitchFamily="18" charset="0"/>
                      </a:rPr>
                      <a:t>4</a:t>
                    </a:r>
                  </a:p>
                </c:rich>
              </c:tx>
              <c:showVal val="1"/>
            </c:dLbl>
            <c:dLbl>
              <c:idx val="3"/>
              <c:tx>
                <c:rich>
                  <a:bodyPr/>
                  <a:lstStyle/>
                  <a:p>
                    <a:r>
                      <a:rPr lang="en-US" b="1">
                        <a:latin typeface="Times New Roman" pitchFamily="18" charset="0"/>
                        <a:cs typeface="Times New Roman" pitchFamily="18" charset="0"/>
                      </a:rPr>
                      <a:t>5</a:t>
                    </a:r>
                  </a:p>
                </c:rich>
              </c:tx>
              <c:showVal val="1"/>
            </c:dLbl>
            <c:dLbl>
              <c:idx val="4"/>
              <c:tx>
                <c:rich>
                  <a:bodyPr/>
                  <a:lstStyle/>
                  <a:p>
                    <a:r>
                      <a:rPr lang="en-US" b="1">
                        <a:latin typeface="Times New Roman" pitchFamily="18" charset="0"/>
                        <a:cs typeface="Times New Roman" pitchFamily="18" charset="0"/>
                      </a:rPr>
                      <a:t>5</a:t>
                    </a:r>
                  </a:p>
                </c:rich>
              </c:tx>
              <c:showVal val="1"/>
            </c:dLbl>
            <c:showVal val="1"/>
          </c:dLbls>
          <c:cat>
            <c:strRef>
              <c:f>Sheet1!$U$211:$U$215</c:f>
              <c:strCache>
                <c:ptCount val="5"/>
                <c:pt idx="0">
                  <c:v>Toplana</c:v>
                </c:pt>
                <c:pt idx="1">
                  <c:v>Etažno grejanje</c:v>
                </c:pt>
                <c:pt idx="2">
                  <c:v>Električni aparati </c:v>
                </c:pt>
                <c:pt idx="3">
                  <c:v>Uređaji za grejanje </c:v>
                </c:pt>
                <c:pt idx="4">
                  <c:v>Prosek</c:v>
                </c:pt>
              </c:strCache>
            </c:strRef>
          </c:cat>
          <c:val>
            <c:numRef>
              <c:f>Sheet1!$V$211:$V$215</c:f>
              <c:numCache>
                <c:formatCode>0%</c:formatCode>
                <c:ptCount val="5"/>
                <c:pt idx="0">
                  <c:v>2.4E-2</c:v>
                </c:pt>
                <c:pt idx="1">
                  <c:v>3.6999999999999998E-2</c:v>
                </c:pt>
                <c:pt idx="2">
                  <c:v>3.5999999999999997E-2</c:v>
                </c:pt>
                <c:pt idx="3">
                  <c:v>5.3000000000000012E-2</c:v>
                </c:pt>
                <c:pt idx="4">
                  <c:v>4.5999999999999999E-2</c:v>
                </c:pt>
              </c:numCache>
            </c:numRef>
          </c:val>
        </c:ser>
        <c:ser>
          <c:idx val="1"/>
          <c:order val="1"/>
          <c:tx>
            <c:strRef>
              <c:f>Sheet1!$W$210</c:f>
              <c:strCache>
                <c:ptCount val="1"/>
                <c:pt idx="0">
                  <c:v>Od trećine do dve trećine</c:v>
                </c:pt>
              </c:strCache>
            </c:strRef>
          </c:tx>
          <c:dLbls>
            <c:dLbl>
              <c:idx val="0"/>
              <c:tx>
                <c:rich>
                  <a:bodyPr/>
                  <a:lstStyle/>
                  <a:p>
                    <a:r>
                      <a:rPr lang="en-US" b="1">
                        <a:latin typeface="Times New Roman" pitchFamily="18" charset="0"/>
                        <a:cs typeface="Times New Roman" pitchFamily="18" charset="0"/>
                      </a:rPr>
                      <a:t>15</a:t>
                    </a:r>
                  </a:p>
                </c:rich>
              </c:tx>
              <c:showVal val="1"/>
            </c:dLbl>
            <c:dLbl>
              <c:idx val="1"/>
              <c:tx>
                <c:rich>
                  <a:bodyPr/>
                  <a:lstStyle/>
                  <a:p>
                    <a:r>
                      <a:rPr lang="en-US" b="1">
                        <a:latin typeface="Times New Roman" pitchFamily="18" charset="0"/>
                        <a:cs typeface="Times New Roman" pitchFamily="18" charset="0"/>
                      </a:rPr>
                      <a:t>9</a:t>
                    </a:r>
                  </a:p>
                </c:rich>
              </c:tx>
              <c:showVal val="1"/>
            </c:dLbl>
            <c:dLbl>
              <c:idx val="2"/>
              <c:tx>
                <c:rich>
                  <a:bodyPr/>
                  <a:lstStyle/>
                  <a:p>
                    <a:r>
                      <a:rPr lang="en-US" b="1">
                        <a:latin typeface="Times New Roman" pitchFamily="18" charset="0"/>
                        <a:cs typeface="Times New Roman" pitchFamily="18" charset="0"/>
                      </a:rPr>
                      <a:t>54</a:t>
                    </a:r>
                  </a:p>
                </c:rich>
              </c:tx>
              <c:showVal val="1"/>
            </c:dLbl>
            <c:dLbl>
              <c:idx val="3"/>
              <c:tx>
                <c:rich>
                  <a:bodyPr/>
                  <a:lstStyle/>
                  <a:p>
                    <a:r>
                      <a:rPr lang="en-US" b="1">
                        <a:latin typeface="Times New Roman" pitchFamily="18" charset="0"/>
                        <a:cs typeface="Times New Roman" pitchFamily="18" charset="0"/>
                      </a:rPr>
                      <a:t>47</a:t>
                    </a:r>
                  </a:p>
                </c:rich>
              </c:tx>
              <c:showVal val="1"/>
            </c:dLbl>
            <c:dLbl>
              <c:idx val="4"/>
              <c:tx>
                <c:rich>
                  <a:bodyPr/>
                  <a:lstStyle/>
                  <a:p>
                    <a:r>
                      <a:rPr lang="en-US" b="1">
                        <a:latin typeface="Times New Roman" pitchFamily="18" charset="0"/>
                        <a:cs typeface="Times New Roman" pitchFamily="18" charset="0"/>
                      </a:rPr>
                      <a:t>38</a:t>
                    </a:r>
                  </a:p>
                </c:rich>
              </c:tx>
              <c:showVal val="1"/>
            </c:dLbl>
            <c:showVal val="1"/>
          </c:dLbls>
          <c:cat>
            <c:strRef>
              <c:f>Sheet1!$U$211:$U$215</c:f>
              <c:strCache>
                <c:ptCount val="5"/>
                <c:pt idx="0">
                  <c:v>Toplana</c:v>
                </c:pt>
                <c:pt idx="1">
                  <c:v>Etažno grejanje</c:v>
                </c:pt>
                <c:pt idx="2">
                  <c:v>Električni aparati </c:v>
                </c:pt>
                <c:pt idx="3">
                  <c:v>Uređaji za grejanje </c:v>
                </c:pt>
                <c:pt idx="4">
                  <c:v>Prosek</c:v>
                </c:pt>
              </c:strCache>
            </c:strRef>
          </c:cat>
          <c:val>
            <c:numRef>
              <c:f>Sheet1!$W$211:$W$215</c:f>
              <c:numCache>
                <c:formatCode>0%</c:formatCode>
                <c:ptCount val="5"/>
                <c:pt idx="0">
                  <c:v>0.14600000000000021</c:v>
                </c:pt>
                <c:pt idx="1">
                  <c:v>9.3000000000000208E-2</c:v>
                </c:pt>
                <c:pt idx="2">
                  <c:v>0.53600000000000003</c:v>
                </c:pt>
                <c:pt idx="3">
                  <c:v>0.46500000000000002</c:v>
                </c:pt>
                <c:pt idx="4">
                  <c:v>0.38000000000000134</c:v>
                </c:pt>
              </c:numCache>
            </c:numRef>
          </c:val>
        </c:ser>
        <c:ser>
          <c:idx val="2"/>
          <c:order val="2"/>
          <c:tx>
            <c:strRef>
              <c:f>Sheet1!$X$210</c:f>
              <c:strCache>
                <c:ptCount val="1"/>
                <c:pt idx="0">
                  <c:v>Vise od dve trećine, ali ne celo</c:v>
                </c:pt>
              </c:strCache>
            </c:strRef>
          </c:tx>
          <c:dLbls>
            <c:dLbl>
              <c:idx val="0"/>
              <c:tx>
                <c:rich>
                  <a:bodyPr/>
                  <a:lstStyle/>
                  <a:p>
                    <a:r>
                      <a:rPr lang="en-US" b="1">
                        <a:latin typeface="Times New Roman" pitchFamily="18" charset="0"/>
                        <a:cs typeface="Times New Roman" pitchFamily="18" charset="0"/>
                      </a:rPr>
                      <a:t>2</a:t>
                    </a:r>
                  </a:p>
                </c:rich>
              </c:tx>
              <c:showVal val="1"/>
            </c:dLbl>
            <c:dLbl>
              <c:idx val="2"/>
              <c:tx>
                <c:rich>
                  <a:bodyPr/>
                  <a:lstStyle/>
                  <a:p>
                    <a:r>
                      <a:rPr lang="en-US" b="1">
                        <a:latin typeface="Times New Roman" pitchFamily="18" charset="0"/>
                        <a:cs typeface="Times New Roman" pitchFamily="18" charset="0"/>
                      </a:rPr>
                      <a:t>7</a:t>
                    </a:r>
                  </a:p>
                </c:rich>
              </c:tx>
              <c:showVal val="1"/>
            </c:dLbl>
            <c:dLbl>
              <c:idx val="3"/>
              <c:tx>
                <c:rich>
                  <a:bodyPr/>
                  <a:lstStyle/>
                  <a:p>
                    <a:r>
                      <a:rPr lang="en-US" b="1">
                        <a:latin typeface="Times New Roman" pitchFamily="18" charset="0"/>
                        <a:cs typeface="Times New Roman" pitchFamily="18" charset="0"/>
                      </a:rPr>
                      <a:t>6</a:t>
                    </a:r>
                  </a:p>
                </c:rich>
              </c:tx>
              <c:showVal val="1"/>
            </c:dLbl>
            <c:dLbl>
              <c:idx val="4"/>
              <c:tx>
                <c:rich>
                  <a:bodyPr/>
                  <a:lstStyle/>
                  <a:p>
                    <a:r>
                      <a:rPr lang="en-US" b="1">
                        <a:latin typeface="Times New Roman" pitchFamily="18" charset="0"/>
                        <a:cs typeface="Times New Roman" pitchFamily="18" charset="0"/>
                      </a:rPr>
                      <a:t>5</a:t>
                    </a:r>
                  </a:p>
                </c:rich>
              </c:tx>
              <c:showVal val="1"/>
            </c:dLbl>
            <c:showVal val="1"/>
          </c:dLbls>
          <c:cat>
            <c:strRef>
              <c:f>Sheet1!$U$211:$U$215</c:f>
              <c:strCache>
                <c:ptCount val="5"/>
                <c:pt idx="0">
                  <c:v>Toplana</c:v>
                </c:pt>
                <c:pt idx="1">
                  <c:v>Etažno grejanje</c:v>
                </c:pt>
                <c:pt idx="2">
                  <c:v>Električni aparati </c:v>
                </c:pt>
                <c:pt idx="3">
                  <c:v>Uređaji za grejanje </c:v>
                </c:pt>
                <c:pt idx="4">
                  <c:v>Prosek</c:v>
                </c:pt>
              </c:strCache>
            </c:strRef>
          </c:cat>
          <c:val>
            <c:numRef>
              <c:f>Sheet1!$X$211:$X$215</c:f>
              <c:numCache>
                <c:formatCode>General</c:formatCode>
                <c:ptCount val="5"/>
                <c:pt idx="0" formatCode="0%">
                  <c:v>2.4E-2</c:v>
                </c:pt>
                <c:pt idx="2" formatCode="0%">
                  <c:v>7.0999999999999994E-2</c:v>
                </c:pt>
                <c:pt idx="3" formatCode="0%">
                  <c:v>6.2000000000000034E-2</c:v>
                </c:pt>
                <c:pt idx="4" formatCode="0%">
                  <c:v>4.9000000000000113E-2</c:v>
                </c:pt>
              </c:numCache>
            </c:numRef>
          </c:val>
        </c:ser>
        <c:ser>
          <c:idx val="3"/>
          <c:order val="3"/>
          <c:tx>
            <c:strRef>
              <c:f>Sheet1!$Y$210</c:f>
              <c:strCache>
                <c:ptCount val="1"/>
                <c:pt idx="0">
                  <c:v>Celo domaćinstvo</c:v>
                </c:pt>
              </c:strCache>
            </c:strRef>
          </c:tx>
          <c:dLbls>
            <c:dLbl>
              <c:idx val="0"/>
              <c:tx>
                <c:rich>
                  <a:bodyPr/>
                  <a:lstStyle/>
                  <a:p>
                    <a:r>
                      <a:rPr lang="en-US" b="1">
                        <a:latin typeface="Times New Roman" pitchFamily="18" charset="0"/>
                        <a:cs typeface="Times New Roman" pitchFamily="18" charset="0"/>
                      </a:rPr>
                      <a:t>81</a:t>
                    </a:r>
                  </a:p>
                </c:rich>
              </c:tx>
              <c:showVal val="1"/>
            </c:dLbl>
            <c:dLbl>
              <c:idx val="1"/>
              <c:tx>
                <c:rich>
                  <a:bodyPr/>
                  <a:lstStyle/>
                  <a:p>
                    <a:r>
                      <a:rPr lang="en-US" b="1">
                        <a:latin typeface="Times New Roman" pitchFamily="18" charset="0"/>
                        <a:cs typeface="Times New Roman" pitchFamily="18" charset="0"/>
                      </a:rPr>
                      <a:t>87</a:t>
                    </a:r>
                  </a:p>
                </c:rich>
              </c:tx>
              <c:showVal val="1"/>
            </c:dLbl>
            <c:dLbl>
              <c:idx val="2"/>
              <c:tx>
                <c:rich>
                  <a:bodyPr/>
                  <a:lstStyle/>
                  <a:p>
                    <a:r>
                      <a:rPr lang="en-US" b="1">
                        <a:latin typeface="Times New Roman" pitchFamily="18" charset="0"/>
                        <a:cs typeface="Times New Roman" pitchFamily="18" charset="0"/>
                      </a:rPr>
                      <a:t>36</a:t>
                    </a:r>
                  </a:p>
                </c:rich>
              </c:tx>
              <c:showVal val="1"/>
            </c:dLbl>
            <c:dLbl>
              <c:idx val="3"/>
              <c:tx>
                <c:rich>
                  <a:bodyPr/>
                  <a:lstStyle/>
                  <a:p>
                    <a:r>
                      <a:rPr lang="en-US" b="1">
                        <a:latin typeface="Times New Roman" pitchFamily="18" charset="0"/>
                        <a:cs typeface="Times New Roman" pitchFamily="18" charset="0"/>
                      </a:rPr>
                      <a:t>42</a:t>
                    </a:r>
                  </a:p>
                </c:rich>
              </c:tx>
              <c:showVal val="1"/>
            </c:dLbl>
            <c:dLbl>
              <c:idx val="4"/>
              <c:tx>
                <c:rich>
                  <a:bodyPr/>
                  <a:lstStyle/>
                  <a:p>
                    <a:r>
                      <a:rPr lang="en-US" b="1">
                        <a:latin typeface="Times New Roman" pitchFamily="18" charset="0"/>
                        <a:cs typeface="Times New Roman" pitchFamily="18" charset="0"/>
                      </a:rPr>
                      <a:t>53</a:t>
                    </a:r>
                  </a:p>
                </c:rich>
              </c:tx>
              <c:showVal val="1"/>
            </c:dLbl>
            <c:showVal val="1"/>
          </c:dLbls>
          <c:cat>
            <c:strRef>
              <c:f>Sheet1!$U$211:$U$215</c:f>
              <c:strCache>
                <c:ptCount val="5"/>
                <c:pt idx="0">
                  <c:v>Toplana</c:v>
                </c:pt>
                <c:pt idx="1">
                  <c:v>Etažno grejanje</c:v>
                </c:pt>
                <c:pt idx="2">
                  <c:v>Električni aparati </c:v>
                </c:pt>
                <c:pt idx="3">
                  <c:v>Uređaji za grejanje </c:v>
                </c:pt>
                <c:pt idx="4">
                  <c:v>Prosek</c:v>
                </c:pt>
              </c:strCache>
            </c:strRef>
          </c:cat>
          <c:val>
            <c:numRef>
              <c:f>Sheet1!$Y$211:$Y$215</c:f>
              <c:numCache>
                <c:formatCode>0%</c:formatCode>
                <c:ptCount val="5"/>
                <c:pt idx="0">
                  <c:v>0.80500000000000005</c:v>
                </c:pt>
                <c:pt idx="1">
                  <c:v>0.87000000000000233</c:v>
                </c:pt>
                <c:pt idx="2">
                  <c:v>0.35700000000000032</c:v>
                </c:pt>
                <c:pt idx="3">
                  <c:v>0.42000000000000032</c:v>
                </c:pt>
                <c:pt idx="4">
                  <c:v>0.52500000000000002</c:v>
                </c:pt>
              </c:numCache>
            </c:numRef>
          </c:val>
        </c:ser>
        <c:overlap val="100"/>
        <c:axId val="108288640"/>
        <c:axId val="108724608"/>
      </c:barChart>
      <c:catAx>
        <c:axId val="108288640"/>
        <c:scaling>
          <c:orientation val="minMax"/>
        </c:scaling>
        <c:axPos val="l"/>
        <c:tickLblPos val="nextTo"/>
        <c:crossAx val="108724608"/>
        <c:crosses val="autoZero"/>
        <c:auto val="1"/>
        <c:lblAlgn val="ctr"/>
        <c:lblOffset val="100"/>
      </c:catAx>
      <c:valAx>
        <c:axId val="108724608"/>
        <c:scaling>
          <c:orientation val="minMax"/>
        </c:scaling>
        <c:delete val="1"/>
        <c:axPos val="b"/>
        <c:majorGridlines>
          <c:spPr>
            <a:ln>
              <a:solidFill>
                <a:schemeClr val="bg1"/>
              </a:solidFill>
            </a:ln>
          </c:spPr>
        </c:majorGridlines>
        <c:numFmt formatCode="0%" sourceLinked="1"/>
        <c:tickLblPos val="nextTo"/>
        <c:crossAx val="108288640"/>
        <c:crosses val="autoZero"/>
        <c:crossBetween val="between"/>
      </c:valAx>
    </c:plotArea>
    <c:legend>
      <c:legendPos val="t"/>
    </c:legend>
    <c:plotVisOnly val="1"/>
  </c:chart>
  <c:spPr>
    <a:ln>
      <a:noFill/>
    </a:ln>
  </c:spPr>
  <c:txPr>
    <a:bodyPr/>
    <a:lstStyle/>
    <a:p>
      <a:pPr>
        <a:defRPr>
          <a:latin typeface="Constantia"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Sheet1!$P$232</c:f>
              <c:strCache>
                <c:ptCount val="1"/>
                <c:pt idx="0">
                  <c:v>Izolacija zidova</c:v>
                </c:pt>
              </c:strCache>
            </c:strRef>
          </c:tx>
          <c:dLbls>
            <c:dLbl>
              <c:idx val="0"/>
              <c:layout>
                <c:manualLayout>
                  <c:x val="0"/>
                  <c:y val="1.3888888888888999E-2"/>
                </c:manualLayout>
              </c:layout>
              <c:tx>
                <c:rich>
                  <a:bodyPr/>
                  <a:lstStyle/>
                  <a:p>
                    <a:r>
                      <a:rPr lang="en-US"/>
                      <a:t>19</a:t>
                    </a:r>
                  </a:p>
                </c:rich>
              </c:tx>
              <c:showVal val="1"/>
            </c:dLbl>
            <c:dLbl>
              <c:idx val="1"/>
              <c:tx>
                <c:rich>
                  <a:bodyPr/>
                  <a:lstStyle/>
                  <a:p>
                    <a:r>
                      <a:rPr lang="en-US"/>
                      <a:t>15</a:t>
                    </a:r>
                  </a:p>
                </c:rich>
              </c:tx>
              <c:showVal val="1"/>
            </c:dLbl>
            <c:dLbl>
              <c:idx val="2"/>
              <c:tx>
                <c:rich>
                  <a:bodyPr/>
                  <a:lstStyle/>
                  <a:p>
                    <a:r>
                      <a:rPr lang="en-US"/>
                      <a:t>32</a:t>
                    </a:r>
                  </a:p>
                </c:rich>
              </c:tx>
              <c:showVal val="1"/>
            </c:dLbl>
            <c:dLbl>
              <c:idx val="3"/>
              <c:layout>
                <c:manualLayout>
                  <c:x val="-8.3333333333334026E-3"/>
                  <c:y val="-1.8518518518518583E-2"/>
                </c:manualLayout>
              </c:layout>
              <c:tx>
                <c:rich>
                  <a:bodyPr/>
                  <a:lstStyle/>
                  <a:p>
                    <a:r>
                      <a:rPr lang="en-US"/>
                      <a:t>31</a:t>
                    </a:r>
                  </a:p>
                </c:rich>
              </c:tx>
              <c:showVal val="1"/>
            </c:dLbl>
            <c:dLbl>
              <c:idx val="4"/>
              <c:layout>
                <c:manualLayout>
                  <c:x val="0"/>
                  <c:y val="-4.1666666666666664E-2"/>
                </c:manualLayout>
              </c:layout>
              <c:tx>
                <c:rich>
                  <a:bodyPr/>
                  <a:lstStyle/>
                  <a:p>
                    <a:r>
                      <a:rPr lang="en-US"/>
                      <a:t>27</a:t>
                    </a:r>
                  </a:p>
                </c:rich>
              </c:tx>
              <c:showVal val="1"/>
            </c:dLbl>
            <c:showVal val="1"/>
          </c:dLbls>
          <c:cat>
            <c:strRef>
              <c:f>Sheet1!$O$233:$O$237</c:f>
              <c:strCache>
                <c:ptCount val="5"/>
                <c:pt idx="0">
                  <c:v>Toplana</c:v>
                </c:pt>
                <c:pt idx="1">
                  <c:v>Etažno grejanje</c:v>
                </c:pt>
                <c:pt idx="2">
                  <c:v>Električni aparati</c:v>
                </c:pt>
                <c:pt idx="3">
                  <c:v>Uređaji za grejanje</c:v>
                </c:pt>
                <c:pt idx="4">
                  <c:v>Prosek</c:v>
                </c:pt>
              </c:strCache>
            </c:strRef>
          </c:cat>
          <c:val>
            <c:numRef>
              <c:f>Sheet1!$P$233:$P$237</c:f>
              <c:numCache>
                <c:formatCode>0%</c:formatCode>
                <c:ptCount val="5"/>
                <c:pt idx="0">
                  <c:v>0.19</c:v>
                </c:pt>
                <c:pt idx="1">
                  <c:v>0.14800000000000021</c:v>
                </c:pt>
                <c:pt idx="2">
                  <c:v>0.32100000000000134</c:v>
                </c:pt>
                <c:pt idx="3">
                  <c:v>0.31000000000000116</c:v>
                </c:pt>
                <c:pt idx="4">
                  <c:v>0.27300000000000002</c:v>
                </c:pt>
              </c:numCache>
            </c:numRef>
          </c:val>
        </c:ser>
        <c:ser>
          <c:idx val="1"/>
          <c:order val="1"/>
          <c:tx>
            <c:strRef>
              <c:f>Sheet1!$Q$232</c:f>
              <c:strCache>
                <c:ptCount val="1"/>
                <c:pt idx="0">
                  <c:v>Izolacija tavana</c:v>
                </c:pt>
              </c:strCache>
            </c:strRef>
          </c:tx>
          <c:dLbls>
            <c:dLbl>
              <c:idx val="0"/>
              <c:layout>
                <c:manualLayout>
                  <c:x val="5.1880674448767832E-3"/>
                  <c:y val="6.9444444444444503E-2"/>
                </c:manualLayout>
              </c:layout>
              <c:tx>
                <c:rich>
                  <a:bodyPr/>
                  <a:lstStyle/>
                  <a:p>
                    <a:r>
                      <a:rPr lang="en-US"/>
                      <a:t>17</a:t>
                    </a:r>
                  </a:p>
                </c:rich>
              </c:tx>
              <c:showVal val="1"/>
            </c:dLbl>
            <c:dLbl>
              <c:idx val="1"/>
              <c:tx>
                <c:rich>
                  <a:bodyPr/>
                  <a:lstStyle/>
                  <a:p>
                    <a:r>
                      <a:rPr lang="en-US"/>
                      <a:t>7</a:t>
                    </a:r>
                  </a:p>
                </c:rich>
              </c:tx>
              <c:showVal val="1"/>
            </c:dLbl>
            <c:dLbl>
              <c:idx val="2"/>
              <c:layout>
                <c:manualLayout>
                  <c:x val="0"/>
                  <c:y val="-4.1666666666666623E-2"/>
                </c:manualLayout>
              </c:layout>
              <c:tx>
                <c:rich>
                  <a:bodyPr/>
                  <a:lstStyle/>
                  <a:p>
                    <a:r>
                      <a:rPr lang="en-US"/>
                      <a:t>36</a:t>
                    </a:r>
                  </a:p>
                </c:rich>
              </c:tx>
              <c:showVal val="1"/>
            </c:dLbl>
            <c:dLbl>
              <c:idx val="3"/>
              <c:tx>
                <c:rich>
                  <a:bodyPr/>
                  <a:lstStyle/>
                  <a:p>
                    <a:r>
                      <a:rPr lang="en-US"/>
                      <a:t>28</a:t>
                    </a:r>
                  </a:p>
                </c:rich>
              </c:tx>
              <c:showVal val="1"/>
            </c:dLbl>
            <c:dLbl>
              <c:idx val="4"/>
              <c:tx>
                <c:rich>
                  <a:bodyPr/>
                  <a:lstStyle/>
                  <a:p>
                    <a:r>
                      <a:rPr lang="en-US"/>
                      <a:t>24</a:t>
                    </a:r>
                  </a:p>
                </c:rich>
              </c:tx>
              <c:showVal val="1"/>
            </c:dLbl>
            <c:showVal val="1"/>
          </c:dLbls>
          <c:cat>
            <c:strRef>
              <c:f>Sheet1!$O$233:$O$237</c:f>
              <c:strCache>
                <c:ptCount val="5"/>
                <c:pt idx="0">
                  <c:v>Toplana</c:v>
                </c:pt>
                <c:pt idx="1">
                  <c:v>Etažno grejanje</c:v>
                </c:pt>
                <c:pt idx="2">
                  <c:v>Električni aparati</c:v>
                </c:pt>
                <c:pt idx="3">
                  <c:v>Uređaji za grejanje</c:v>
                </c:pt>
                <c:pt idx="4">
                  <c:v>Prosek</c:v>
                </c:pt>
              </c:strCache>
            </c:strRef>
          </c:cat>
          <c:val>
            <c:numRef>
              <c:f>Sheet1!$Q$233:$Q$237</c:f>
              <c:numCache>
                <c:formatCode>0%</c:formatCode>
                <c:ptCount val="5"/>
                <c:pt idx="0">
                  <c:v>0.16700000000000001</c:v>
                </c:pt>
                <c:pt idx="1">
                  <c:v>6.6000000000000003E-2</c:v>
                </c:pt>
                <c:pt idx="2">
                  <c:v>0.35700000000000032</c:v>
                </c:pt>
                <c:pt idx="3">
                  <c:v>0.28400000000000031</c:v>
                </c:pt>
                <c:pt idx="4">
                  <c:v>0.24300000000000024</c:v>
                </c:pt>
              </c:numCache>
            </c:numRef>
          </c:val>
        </c:ser>
        <c:ser>
          <c:idx val="2"/>
          <c:order val="2"/>
          <c:tx>
            <c:strRef>
              <c:f>Sheet1!$R$232</c:f>
              <c:strCache>
                <c:ptCount val="1"/>
                <c:pt idx="0">
                  <c:v>Promena stolarije</c:v>
                </c:pt>
              </c:strCache>
            </c:strRef>
          </c:tx>
          <c:dLbls>
            <c:dLbl>
              <c:idx val="0"/>
              <c:tx>
                <c:rich>
                  <a:bodyPr/>
                  <a:lstStyle/>
                  <a:p>
                    <a:r>
                      <a:rPr lang="en-US"/>
                      <a:t>33</a:t>
                    </a:r>
                  </a:p>
                </c:rich>
              </c:tx>
              <c:showVal val="1"/>
            </c:dLbl>
            <c:dLbl>
              <c:idx val="1"/>
              <c:tx>
                <c:rich>
                  <a:bodyPr/>
                  <a:lstStyle/>
                  <a:p>
                    <a:r>
                      <a:rPr lang="en-US"/>
                      <a:t>26</a:t>
                    </a:r>
                  </a:p>
                </c:rich>
              </c:tx>
              <c:showVal val="1"/>
            </c:dLbl>
            <c:dLbl>
              <c:idx val="2"/>
              <c:tx>
                <c:rich>
                  <a:bodyPr/>
                  <a:lstStyle/>
                  <a:p>
                    <a:r>
                      <a:rPr lang="en-US"/>
                      <a:t>68</a:t>
                    </a:r>
                  </a:p>
                </c:rich>
              </c:tx>
              <c:showVal val="1"/>
            </c:dLbl>
            <c:dLbl>
              <c:idx val="3"/>
              <c:tx>
                <c:rich>
                  <a:bodyPr/>
                  <a:lstStyle/>
                  <a:p>
                    <a:r>
                      <a:rPr lang="en-US"/>
                      <a:t>41</a:t>
                    </a:r>
                  </a:p>
                </c:rich>
              </c:tx>
              <c:showVal val="1"/>
            </c:dLbl>
            <c:dLbl>
              <c:idx val="4"/>
              <c:layout>
                <c:manualLayout>
                  <c:x val="8.3333333333333367E-3"/>
                  <c:y val="2.7777777777778099E-2"/>
                </c:manualLayout>
              </c:layout>
              <c:tx>
                <c:rich>
                  <a:bodyPr/>
                  <a:lstStyle/>
                  <a:p>
                    <a:r>
                      <a:rPr lang="en-US"/>
                      <a:t>40</a:t>
                    </a:r>
                  </a:p>
                </c:rich>
              </c:tx>
              <c:showVal val="1"/>
            </c:dLbl>
            <c:showVal val="1"/>
          </c:dLbls>
          <c:cat>
            <c:strRef>
              <c:f>Sheet1!$O$233:$O$237</c:f>
              <c:strCache>
                <c:ptCount val="5"/>
                <c:pt idx="0">
                  <c:v>Toplana</c:v>
                </c:pt>
                <c:pt idx="1">
                  <c:v>Etažno grejanje</c:v>
                </c:pt>
                <c:pt idx="2">
                  <c:v>Električni aparati</c:v>
                </c:pt>
                <c:pt idx="3">
                  <c:v>Uređaji za grejanje</c:v>
                </c:pt>
                <c:pt idx="4">
                  <c:v>Prosek</c:v>
                </c:pt>
              </c:strCache>
            </c:strRef>
          </c:cat>
          <c:val>
            <c:numRef>
              <c:f>Sheet1!$R$233:$R$237</c:f>
              <c:numCache>
                <c:formatCode>0%</c:formatCode>
                <c:ptCount val="5"/>
                <c:pt idx="0">
                  <c:v>0.33300000000000152</c:v>
                </c:pt>
                <c:pt idx="1">
                  <c:v>0.26200000000000001</c:v>
                </c:pt>
                <c:pt idx="2">
                  <c:v>0.67900000000000305</c:v>
                </c:pt>
                <c:pt idx="3">
                  <c:v>0.41000000000000031</c:v>
                </c:pt>
                <c:pt idx="4">
                  <c:v>0.39800000000000152</c:v>
                </c:pt>
              </c:numCache>
            </c:numRef>
          </c:val>
        </c:ser>
        <c:ser>
          <c:idx val="3"/>
          <c:order val="3"/>
          <c:tx>
            <c:strRef>
              <c:f>Sheet1!$S$232</c:f>
              <c:strCache>
                <c:ptCount val="1"/>
                <c:pt idx="0">
                  <c:v>Izolacija podova</c:v>
                </c:pt>
              </c:strCache>
            </c:strRef>
          </c:tx>
          <c:dLbls>
            <c:dLbl>
              <c:idx val="0"/>
              <c:layout>
                <c:manualLayout>
                  <c:x val="5.5555555555555558E-3"/>
                  <c:y val="-2.3148148148148147E-2"/>
                </c:manualLayout>
              </c:layout>
              <c:tx>
                <c:rich>
                  <a:bodyPr/>
                  <a:lstStyle/>
                  <a:p>
                    <a:r>
                      <a:rPr lang="en-US"/>
                      <a:t>17</a:t>
                    </a:r>
                  </a:p>
                </c:rich>
              </c:tx>
              <c:showVal val="1"/>
            </c:dLbl>
            <c:dLbl>
              <c:idx val="1"/>
              <c:tx>
                <c:rich>
                  <a:bodyPr/>
                  <a:lstStyle/>
                  <a:p>
                    <a:r>
                      <a:rPr lang="en-US"/>
                      <a:t>8</a:t>
                    </a:r>
                  </a:p>
                </c:rich>
              </c:tx>
              <c:showVal val="1"/>
            </c:dLbl>
            <c:dLbl>
              <c:idx val="2"/>
              <c:tx>
                <c:rich>
                  <a:bodyPr/>
                  <a:lstStyle/>
                  <a:p>
                    <a:r>
                      <a:rPr lang="en-US"/>
                      <a:t>50</a:t>
                    </a:r>
                  </a:p>
                </c:rich>
              </c:tx>
              <c:showVal val="1"/>
            </c:dLbl>
            <c:dLbl>
              <c:idx val="3"/>
              <c:layout>
                <c:manualLayout>
                  <c:x val="1.6666666666666701E-2"/>
                  <c:y val="0"/>
                </c:manualLayout>
              </c:layout>
              <c:tx>
                <c:rich>
                  <a:bodyPr/>
                  <a:lstStyle/>
                  <a:p>
                    <a:r>
                      <a:rPr lang="en-US"/>
                      <a:t>32</a:t>
                    </a:r>
                  </a:p>
                </c:rich>
              </c:tx>
              <c:showVal val="1"/>
            </c:dLbl>
            <c:dLbl>
              <c:idx val="4"/>
              <c:layout>
                <c:manualLayout>
                  <c:x val="4.2443064182194614E-3"/>
                  <c:y val="2.3148153911591023E-2"/>
                </c:manualLayout>
              </c:layout>
              <c:tx>
                <c:rich>
                  <a:bodyPr/>
                  <a:lstStyle/>
                  <a:p>
                    <a:r>
                      <a:rPr lang="en-US"/>
                      <a:t>28</a:t>
                    </a:r>
                  </a:p>
                </c:rich>
              </c:tx>
              <c:showVal val="1"/>
            </c:dLbl>
            <c:showVal val="1"/>
          </c:dLbls>
          <c:cat>
            <c:strRef>
              <c:f>Sheet1!$O$233:$O$237</c:f>
              <c:strCache>
                <c:ptCount val="5"/>
                <c:pt idx="0">
                  <c:v>Toplana</c:v>
                </c:pt>
                <c:pt idx="1">
                  <c:v>Etažno grejanje</c:v>
                </c:pt>
                <c:pt idx="2">
                  <c:v>Električni aparati</c:v>
                </c:pt>
                <c:pt idx="3">
                  <c:v>Uređaji za grejanje</c:v>
                </c:pt>
                <c:pt idx="4">
                  <c:v>Prosek</c:v>
                </c:pt>
              </c:strCache>
            </c:strRef>
          </c:cat>
          <c:val>
            <c:numRef>
              <c:f>Sheet1!$S$233:$S$237</c:f>
              <c:numCache>
                <c:formatCode>0%</c:formatCode>
                <c:ptCount val="5"/>
                <c:pt idx="0">
                  <c:v>0.16700000000000001</c:v>
                </c:pt>
                <c:pt idx="1">
                  <c:v>8.2000000000000003E-2</c:v>
                </c:pt>
                <c:pt idx="2">
                  <c:v>0.5</c:v>
                </c:pt>
                <c:pt idx="3">
                  <c:v>0.31700000000000134</c:v>
                </c:pt>
                <c:pt idx="4">
                  <c:v>0.27800000000000002</c:v>
                </c:pt>
              </c:numCache>
            </c:numRef>
          </c:val>
        </c:ser>
        <c:axId val="108744064"/>
        <c:axId val="108782720"/>
      </c:barChart>
      <c:catAx>
        <c:axId val="108744064"/>
        <c:scaling>
          <c:orientation val="minMax"/>
        </c:scaling>
        <c:axPos val="b"/>
        <c:tickLblPos val="nextTo"/>
        <c:crossAx val="108782720"/>
        <c:crosses val="autoZero"/>
        <c:auto val="1"/>
        <c:lblAlgn val="ctr"/>
        <c:lblOffset val="100"/>
      </c:catAx>
      <c:valAx>
        <c:axId val="108782720"/>
        <c:scaling>
          <c:orientation val="minMax"/>
        </c:scaling>
        <c:delete val="1"/>
        <c:axPos val="l"/>
        <c:majorGridlines>
          <c:spPr>
            <a:ln>
              <a:solidFill>
                <a:schemeClr val="bg1"/>
              </a:solidFill>
            </a:ln>
          </c:spPr>
        </c:majorGridlines>
        <c:numFmt formatCode="0%" sourceLinked="1"/>
        <c:tickLblPos val="nextTo"/>
        <c:crossAx val="108744064"/>
        <c:crosses val="autoZero"/>
        <c:crossBetween val="between"/>
      </c:valAx>
    </c:plotArea>
    <c:legend>
      <c:legendPos val="t"/>
    </c:legend>
    <c:plotVisOnly val="1"/>
  </c:chart>
  <c:spPr>
    <a:ln>
      <a:noFill/>
    </a:ln>
  </c:spPr>
  <c:txPr>
    <a:bodyPr/>
    <a:lstStyle/>
    <a:p>
      <a:pPr>
        <a:defRPr>
          <a:latin typeface="Constantia"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dLbls>
            <c:showVal val="1"/>
          </c:dLbls>
          <c:cat>
            <c:strRef>
              <c:f>Sheet1!$D$292:$D$295</c:f>
              <c:strCache>
                <c:ptCount val="4"/>
                <c:pt idx="0">
                  <c:v>Do 500 kWh</c:v>
                </c:pt>
                <c:pt idx="1">
                  <c:v>501-1000 kWh</c:v>
                </c:pt>
                <c:pt idx="2">
                  <c:v>1001-1500 kWh</c:v>
                </c:pt>
                <c:pt idx="3">
                  <c:v>1501-2000 kwh</c:v>
                </c:pt>
              </c:strCache>
            </c:strRef>
          </c:cat>
          <c:val>
            <c:numRef>
              <c:f>Sheet1!$E$292:$E$295</c:f>
              <c:numCache>
                <c:formatCode>General</c:formatCode>
                <c:ptCount val="4"/>
                <c:pt idx="0">
                  <c:v>65</c:v>
                </c:pt>
                <c:pt idx="1">
                  <c:v>32</c:v>
                </c:pt>
                <c:pt idx="2">
                  <c:v>2</c:v>
                </c:pt>
                <c:pt idx="3">
                  <c:v>1</c:v>
                </c:pt>
              </c:numCache>
            </c:numRef>
          </c:val>
        </c:ser>
        <c:marker val="1"/>
        <c:axId val="108831488"/>
        <c:axId val="108833024"/>
      </c:lineChart>
      <c:catAx>
        <c:axId val="108831488"/>
        <c:scaling>
          <c:orientation val="minMax"/>
        </c:scaling>
        <c:axPos val="b"/>
        <c:tickLblPos val="nextTo"/>
        <c:crossAx val="108833024"/>
        <c:crosses val="autoZero"/>
        <c:auto val="1"/>
        <c:lblAlgn val="ctr"/>
        <c:lblOffset val="100"/>
      </c:catAx>
      <c:valAx>
        <c:axId val="108833024"/>
        <c:scaling>
          <c:orientation val="minMax"/>
        </c:scaling>
        <c:delete val="1"/>
        <c:axPos val="l"/>
        <c:majorGridlines>
          <c:spPr>
            <a:ln>
              <a:solidFill>
                <a:sysClr val="window" lastClr="FFFFFF"/>
              </a:solidFill>
            </a:ln>
          </c:spPr>
        </c:majorGridlines>
        <c:numFmt formatCode="General" sourceLinked="1"/>
        <c:tickLblPos val="nextTo"/>
        <c:crossAx val="108831488"/>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dLbls>
            <c:showVal val="1"/>
          </c:dLbls>
          <c:cat>
            <c:strRef>
              <c:f>Sheet2!$C$6:$C$10</c:f>
              <c:strCache>
                <c:ptCount val="5"/>
                <c:pt idx="0">
                  <c:v>Do 1500</c:v>
                </c:pt>
                <c:pt idx="1">
                  <c:v>1501-3000</c:v>
                </c:pt>
                <c:pt idx="2">
                  <c:v>3001-6000</c:v>
                </c:pt>
                <c:pt idx="3">
                  <c:v>6001-9000</c:v>
                </c:pt>
                <c:pt idx="4">
                  <c:v>Više od 9000</c:v>
                </c:pt>
              </c:strCache>
            </c:strRef>
          </c:cat>
          <c:val>
            <c:numRef>
              <c:f>Sheet2!$D$6:$D$10</c:f>
              <c:numCache>
                <c:formatCode>General</c:formatCode>
                <c:ptCount val="5"/>
                <c:pt idx="0">
                  <c:v>13</c:v>
                </c:pt>
                <c:pt idx="1">
                  <c:v>38</c:v>
                </c:pt>
                <c:pt idx="2">
                  <c:v>42</c:v>
                </c:pt>
                <c:pt idx="3">
                  <c:v>4</c:v>
                </c:pt>
                <c:pt idx="4">
                  <c:v>3</c:v>
                </c:pt>
              </c:numCache>
            </c:numRef>
          </c:val>
        </c:ser>
        <c:axId val="109970944"/>
        <c:axId val="109972480"/>
      </c:barChart>
      <c:catAx>
        <c:axId val="109970944"/>
        <c:scaling>
          <c:orientation val="minMax"/>
        </c:scaling>
        <c:axPos val="l"/>
        <c:tickLblPos val="nextTo"/>
        <c:crossAx val="109972480"/>
        <c:crosses val="autoZero"/>
        <c:auto val="1"/>
        <c:lblAlgn val="ctr"/>
        <c:lblOffset val="100"/>
      </c:catAx>
      <c:valAx>
        <c:axId val="109972480"/>
        <c:scaling>
          <c:orientation val="minMax"/>
        </c:scaling>
        <c:delete val="1"/>
        <c:axPos val="b"/>
        <c:majorGridlines>
          <c:spPr>
            <a:ln>
              <a:solidFill>
                <a:sysClr val="window" lastClr="FFFFFF"/>
              </a:solidFill>
            </a:ln>
          </c:spPr>
        </c:majorGridlines>
        <c:numFmt formatCode="General" sourceLinked="1"/>
        <c:tickLblPos val="nextTo"/>
        <c:crossAx val="109970944"/>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5424321959755065E-2"/>
          <c:y val="5.0925925925925923E-2"/>
          <c:w val="0.53888888888888964"/>
          <c:h val="0.89814814814814814"/>
        </c:manualLayout>
      </c:layout>
      <c:pieChart>
        <c:varyColors val="1"/>
        <c:ser>
          <c:idx val="0"/>
          <c:order val="0"/>
          <c:spPr>
            <a:solidFill>
              <a:srgbClr val="FFFF00"/>
            </a:solidFill>
          </c:spPr>
          <c:explosion val="25"/>
          <c:dPt>
            <c:idx val="0"/>
            <c:spPr>
              <a:solidFill>
                <a:srgbClr val="00B050"/>
              </a:solidFill>
            </c:spPr>
          </c:dPt>
          <c:dLbls>
            <c:showVal val="1"/>
            <c:showLeaderLines val="1"/>
          </c:dLbls>
          <c:cat>
            <c:strRef>
              <c:f>Sheet2!$D$31:$E$31</c:f>
              <c:strCache>
                <c:ptCount val="2"/>
                <c:pt idx="0">
                  <c:v>Viša tarifa</c:v>
                </c:pt>
                <c:pt idx="1">
                  <c:v>Niža tarifa</c:v>
                </c:pt>
              </c:strCache>
            </c:strRef>
          </c:cat>
          <c:val>
            <c:numRef>
              <c:f>Sheet2!$D$32:$E$32</c:f>
              <c:numCache>
                <c:formatCode>General</c:formatCode>
                <c:ptCount val="2"/>
                <c:pt idx="0">
                  <c:v>59</c:v>
                </c:pt>
                <c:pt idx="1">
                  <c:v>41</c:v>
                </c:pt>
              </c:numCache>
            </c:numRef>
          </c:val>
        </c:ser>
        <c:firstSliceAng val="0"/>
      </c:pieChart>
    </c:plotArea>
    <c:legend>
      <c:legendPos val="r"/>
    </c:legend>
    <c:plotVisOnly val="1"/>
  </c:chart>
  <c:spPr>
    <a:ln>
      <a:noFill/>
    </a:ln>
  </c:spPr>
  <c:txPr>
    <a:bodyPr/>
    <a:lstStyle/>
    <a:p>
      <a:pPr>
        <a:defRPr>
          <a:latin typeface="Constantia"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spPr>
            <a:solidFill>
              <a:srgbClr val="FFC000"/>
            </a:solidFill>
          </c:spPr>
          <c:dLbls>
            <c:showVal val="1"/>
          </c:dLbls>
          <c:cat>
            <c:strRef>
              <c:f>Sheet2!$D$58:$D$62</c:f>
              <c:strCache>
                <c:ptCount val="5"/>
                <c:pt idx="0">
                  <c:v>Ne zna</c:v>
                </c:pt>
                <c:pt idx="1">
                  <c:v>Imam i ostvario sam pravo na umanjenje računa</c:v>
                </c:pt>
                <c:pt idx="2">
                  <c:v>Imam, ali samo u letnjem periodu</c:v>
                </c:pt>
                <c:pt idx="3">
                  <c:v>Imam ali nisam ostvario pravo na umanjenje računa</c:v>
                </c:pt>
                <c:pt idx="4">
                  <c:v>Nemam</c:v>
                </c:pt>
              </c:strCache>
            </c:strRef>
          </c:cat>
          <c:val>
            <c:numRef>
              <c:f>Sheet2!$E$58:$E$62</c:f>
              <c:numCache>
                <c:formatCode>General</c:formatCode>
                <c:ptCount val="5"/>
                <c:pt idx="0">
                  <c:v>10</c:v>
                </c:pt>
                <c:pt idx="1">
                  <c:v>19</c:v>
                </c:pt>
                <c:pt idx="2">
                  <c:v>1</c:v>
                </c:pt>
                <c:pt idx="3">
                  <c:v>1</c:v>
                </c:pt>
                <c:pt idx="4">
                  <c:v>69</c:v>
                </c:pt>
              </c:numCache>
            </c:numRef>
          </c:val>
        </c:ser>
        <c:axId val="110883584"/>
        <c:axId val="110885120"/>
      </c:barChart>
      <c:catAx>
        <c:axId val="110883584"/>
        <c:scaling>
          <c:orientation val="minMax"/>
        </c:scaling>
        <c:axPos val="l"/>
        <c:tickLblPos val="nextTo"/>
        <c:crossAx val="110885120"/>
        <c:crosses val="autoZero"/>
        <c:auto val="1"/>
        <c:lblAlgn val="ctr"/>
        <c:lblOffset val="100"/>
      </c:catAx>
      <c:valAx>
        <c:axId val="110885120"/>
        <c:scaling>
          <c:orientation val="minMax"/>
        </c:scaling>
        <c:delete val="1"/>
        <c:axPos val="b"/>
        <c:majorGridlines>
          <c:spPr>
            <a:ln>
              <a:solidFill>
                <a:sysClr val="window" lastClr="FFFFFF"/>
              </a:solidFill>
            </a:ln>
          </c:spPr>
        </c:majorGridlines>
        <c:numFmt formatCode="General" sourceLinked="1"/>
        <c:tickLblPos val="nextTo"/>
        <c:crossAx val="110883584"/>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D791-E06E-4855-A81A-8F340140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Cesid</dc:creator>
  <cp:lastModifiedBy>Violeta Sretenovic</cp:lastModifiedBy>
  <cp:revision>2</cp:revision>
  <dcterms:created xsi:type="dcterms:W3CDTF">2011-10-19T10:16:00Z</dcterms:created>
  <dcterms:modified xsi:type="dcterms:W3CDTF">2011-10-19T10:16:00Z</dcterms:modified>
</cp:coreProperties>
</file>